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256F">
      <w:pPr>
        <w:pStyle w:val="8"/>
        <w:keepNext w:val="0"/>
        <w:keepLines w:val="0"/>
        <w:pageBreakBefore w:val="0"/>
        <w:widowControl/>
        <w:kinsoku/>
        <w:wordWrap/>
        <w:overflowPunct/>
        <w:topLinePunct w:val="0"/>
        <w:autoSpaceDE/>
        <w:autoSpaceDN/>
        <w:bidi w:val="0"/>
        <w:adjustRightInd/>
        <w:snapToGrid/>
        <w:spacing w:line="640" w:lineRule="exact"/>
        <w:jc w:val="center"/>
        <w:textAlignment w:val="auto"/>
      </w:pPr>
      <w:bookmarkStart w:id="1" w:name="_GoBack"/>
      <w:bookmarkEnd w:id="1"/>
      <w:r>
        <w:rPr>
          <w:rFonts w:hint="eastAsia" w:asciiTheme="majorEastAsia" w:hAnsiTheme="majorEastAsia" w:eastAsiaTheme="majorEastAsia" w:cstheme="majorEastAsia"/>
          <w:b/>
          <w:bCs/>
        </w:rPr>
        <w:t>武汉市江滩管理办法</w:t>
      </w:r>
    </w:p>
    <w:p w14:paraId="69A276CE">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14:paraId="2FA0A53D">
      <w:pPr>
        <w:pStyle w:val="6"/>
        <w:jc w:val="center"/>
        <w:rPr>
          <w:rFonts w:hint="eastAsia" w:ascii="楷体" w:hAnsi="楷体" w:eastAsia="楷体" w:cs="楷体"/>
          <w:sz w:val="32"/>
          <w:szCs w:val="32"/>
        </w:rPr>
      </w:pPr>
    </w:p>
    <w:p w14:paraId="1C35A528">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总则</w:t>
      </w:r>
    </w:p>
    <w:p w14:paraId="140F4AA9">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为了践行人民城市理念，充分发挥江滩的整体功能和综合效益，加强江滩的保护、利用和管理，根据《中华人民共和国防洪法》《中华人民共和国长江保护法》《中华人民共和国河道管理条例》《水利风景区管理办法》《武汉市城市绿化条例》《武汉市城市综合管理条例》等有关法律法规的规定，结合本市实际，制定本办法。【修订】</w:t>
      </w:r>
    </w:p>
    <w:p w14:paraId="68CCDADE">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本办法所称江滩是指河道管理沿岸范围内，已完成防洪与环境综合整治，对社会公众开放，具有游览观光、文化体育、运动健身、休憩娱乐等功能的</w:t>
      </w:r>
      <w:r>
        <w:rPr>
          <w:rFonts w:hint="eastAsia"/>
          <w:color w:val="000000" w:themeColor="text1"/>
          <w:lang w:val="en-US" w:eastAsia="zh-CN"/>
          <w14:textFill>
            <w14:solidFill>
              <w14:schemeClr w14:val="tx1"/>
            </w14:solidFill>
          </w14:textFill>
        </w:rPr>
        <w:t>公共</w:t>
      </w:r>
      <w:r>
        <w:rPr>
          <w:color w:val="000000" w:themeColor="text1"/>
          <w14:textFill>
            <w14:solidFill>
              <w14:schemeClr w14:val="tx1"/>
            </w14:solidFill>
          </w14:textFill>
        </w:rPr>
        <w:t>活动空间。</w:t>
      </w:r>
    </w:p>
    <w:p w14:paraId="40B16AA4">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本办法适用于本市行政区域内的江滩保护、利用和管理等活动。【修订】</w:t>
      </w:r>
    </w:p>
    <w:p w14:paraId="3DE14365">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江滩保护、利用和管理应当按照整体性、安全性、生态性等要求，坚持全域管理、统筹协调、绿色发展、文化传承和共享共治的原则。【新增】</w:t>
      </w:r>
    </w:p>
    <w:p w14:paraId="0AB2F543">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市、区人民政府应当加强对江滩管理工作的领导，建立江滩建设管理工作议事协调机制，统筹推进沿岸江滩发展工作，研究和审议辖区内的江滩保护、利用和管理中的重大事项。【新增】</w:t>
      </w:r>
    </w:p>
    <w:p w14:paraId="6D9DA686">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水行政主管部门是江滩的行政主管部门，其所属的江滩管理机构负责江滩日常管理工作，市、区（含功能区）江滩管理机构负责管理江滩的具体范围由市水行政主管部门划定，并向社会公布。</w:t>
      </w:r>
    </w:p>
    <w:p w14:paraId="3C9592FB">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市级江滩管理机构在市水行政主管部门的指导下，具体配合编制本行政区域内江滩管理标准和规范、管理制度，落实议事协调工作机制，承担全域江滩管理的统筹协调等具体工作。</w:t>
      </w:r>
    </w:p>
    <w:p w14:paraId="271CD936">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沿岸</w:t>
      </w:r>
      <w:r>
        <w:rPr>
          <w:color w:val="000000" w:themeColor="text1"/>
          <w14:textFill>
            <w14:solidFill>
              <w14:schemeClr w14:val="tx1"/>
            </w14:solidFill>
          </w14:textFill>
        </w:rPr>
        <w:t>各区（含功能区）人民政府应设立江滩管理机构或明确江滩管理</w:t>
      </w:r>
      <w:r>
        <w:rPr>
          <w:rFonts w:hint="eastAsia"/>
          <w:color w:val="000000" w:themeColor="text1"/>
          <w:lang w:val="en-US" w:eastAsia="zh-CN"/>
          <w14:textFill>
            <w14:solidFill>
              <w14:schemeClr w14:val="tx1"/>
            </w14:solidFill>
          </w14:textFill>
        </w:rPr>
        <w:t>部门</w:t>
      </w:r>
      <w:r>
        <w:rPr>
          <w:color w:val="000000" w:themeColor="text1"/>
          <w14:textFill>
            <w14:solidFill>
              <w14:schemeClr w14:val="tx1"/>
            </w14:solidFill>
          </w14:textFill>
        </w:rPr>
        <w:t>，区江滩管理机构负责本辖区内江滩的日常管理工作，并接受上级江滩管理机构的指导和监督，因地制宜建立“管委会＋公司”管理机制。【修订】</w:t>
      </w:r>
    </w:p>
    <w:p w14:paraId="2DD8D14C">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公安、城管、规划、生态环境、文化旅游、卫生健康、体育、应急、市场监管、农业农村、民政等有关行政主管部门，按照各自职责做好江滩的各项管理工作。</w:t>
      </w:r>
      <w:bookmarkStart w:id="0" w:name="OLE_LINK1"/>
      <w:r>
        <w:rPr>
          <w:color w:val="000000" w:themeColor="text1"/>
          <w14:textFill>
            <w14:solidFill>
              <w14:schemeClr w14:val="tx1"/>
            </w14:solidFill>
          </w14:textFill>
        </w:rPr>
        <w:t>【修订】</w:t>
      </w:r>
      <w:bookmarkEnd w:id="0"/>
    </w:p>
    <w:p w14:paraId="7CBF9E70">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江滩防洪和环境综合整治完成后，建设单位应当及时组</w:t>
      </w:r>
      <w:r>
        <w:rPr>
          <w:color w:val="000000" w:themeColor="text1"/>
          <w:spacing w:val="4"/>
          <w14:textFill>
            <w14:solidFill>
              <w14:schemeClr w14:val="tx1"/>
            </w14:solidFill>
          </w14:textFill>
        </w:rPr>
        <w:t>织竣工验收，并与水行政主管部门办理维护管理移交手</w:t>
      </w:r>
      <w:r>
        <w:rPr>
          <w:color w:val="000000" w:themeColor="text1"/>
          <w:spacing w:val="3"/>
          <w14:textFill>
            <w14:solidFill>
              <w14:schemeClr w14:val="tx1"/>
            </w14:solidFill>
          </w14:textFill>
        </w:rPr>
        <w:t>续</w:t>
      </w:r>
      <w:r>
        <w:rPr>
          <w:color w:val="000000" w:themeColor="text1"/>
          <w:spacing w:val="-6"/>
          <w14:textFill>
            <w14:solidFill>
              <w14:schemeClr w14:val="tx1"/>
            </w14:solidFill>
          </w14:textFill>
        </w:rPr>
        <w:t>。</w:t>
      </w:r>
      <w:r>
        <w:rPr>
          <w:color w:val="000000" w:themeColor="text1"/>
          <w14:textFill>
            <w14:solidFill>
              <w14:schemeClr w14:val="tx1"/>
            </w14:solidFill>
          </w14:textFill>
        </w:rPr>
        <w:t>【保留】</w:t>
      </w:r>
    </w:p>
    <w:p w14:paraId="5AF7F5B5">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水行政主管部门应当按照高效能管理要求，会同相关部门结合江滩特点和需求，编制与高品质服务相适应的管理标准与规范，在秩序维护、设施服务等方面实行精细化管理。【</w:t>
      </w:r>
      <w:r>
        <w:rPr>
          <w:rFonts w:hint="eastAsia"/>
          <w:color w:val="000000" w:themeColor="text1"/>
          <w:lang w:val="en-US" w:eastAsia="zh-CN"/>
          <w14:textFill>
            <w14:solidFill>
              <w14:schemeClr w14:val="tx1"/>
            </w14:solidFill>
          </w14:textFill>
        </w:rPr>
        <w:t>新增</w:t>
      </w:r>
      <w:r>
        <w:rPr>
          <w:color w:val="000000" w:themeColor="text1"/>
          <w14:textFill>
            <w14:solidFill>
              <w14:schemeClr w14:val="tx1"/>
            </w14:solidFill>
          </w14:textFill>
        </w:rPr>
        <w:t>】</w:t>
      </w:r>
    </w:p>
    <w:p w14:paraId="487CE460">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任何单位和个人都有义务保护江滩内防洪设施、自然环境、景观和各项设施，对违反本办法的行为有权劝阻、举报和投诉。【保留】</w:t>
      </w:r>
    </w:p>
    <w:p w14:paraId="4FC933A4">
      <w:pPr>
        <w:pStyle w:val="3"/>
        <w:keepNext w:val="0"/>
        <w:keepLines w:val="0"/>
        <w:pageBreakBefore w:val="0"/>
        <w:numPr>
          <w:ilvl w:val="0"/>
          <w:numId w:val="2"/>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市、区人民政府（</w:t>
      </w:r>
      <w:r>
        <w:rPr>
          <w:rFonts w:hint="eastAsia"/>
          <w:color w:val="000000" w:themeColor="text1"/>
          <w:lang w:val="en-US" w:eastAsia="zh-CN"/>
          <w14:textFill>
            <w14:solidFill>
              <w14:schemeClr w14:val="tx1"/>
            </w14:solidFill>
          </w14:textFill>
        </w:rPr>
        <w:t>含</w:t>
      </w:r>
      <w:r>
        <w:rPr>
          <w:color w:val="000000" w:themeColor="text1"/>
          <w14:textFill>
            <w14:solidFill>
              <w14:schemeClr w14:val="tx1"/>
            </w14:solidFill>
          </w14:textFill>
        </w:rPr>
        <w:t>功能区）应当按照管理权限将江滩维护管理经费纳入同级财政预算。【</w:t>
      </w:r>
      <w:r>
        <w:rPr>
          <w:rFonts w:hint="eastAsia"/>
          <w:color w:val="000000" w:themeColor="text1"/>
          <w:lang w:val="en-US" w:eastAsia="zh-CN"/>
          <w14:textFill>
            <w14:solidFill>
              <w14:schemeClr w14:val="tx1"/>
            </w14:solidFill>
          </w14:textFill>
        </w:rPr>
        <w:t>修订</w:t>
      </w:r>
      <w:r>
        <w:rPr>
          <w:color w:val="000000" w:themeColor="text1"/>
          <w14:textFill>
            <w14:solidFill>
              <w14:schemeClr w14:val="tx1"/>
            </w14:solidFill>
          </w14:textFill>
        </w:rPr>
        <w:t>】</w:t>
      </w:r>
    </w:p>
    <w:p w14:paraId="0E379DEB">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江滩防洪管理</w:t>
      </w:r>
    </w:p>
    <w:p w14:paraId="016B5631">
      <w:pPr>
        <w:pStyle w:val="3"/>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在江滩范围内进行建设、开展活动应当符合河道管理规定和相关规划要求，不得影响防洪安全。</w:t>
      </w:r>
    </w:p>
    <w:p w14:paraId="22DE931E">
      <w:pPr>
        <w:pStyle w:val="3"/>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在江滩范围内进行建设，建设单位应当遵守相关法律法规和规划要求，服从江滩管理机构管理。【修订】</w:t>
      </w:r>
    </w:p>
    <w:p w14:paraId="4821025C">
      <w:pPr>
        <w:pStyle w:val="3"/>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因防汛抗洪工作需要，防汛指挥机构可以要求江滩范围内的有关单位和个人暂停或者停止相关活动，并对阻碍行洪的障碍物予以清除；拒不清除的，由防汛指挥机构强行清除，所需费用由设障者承担。【保留】</w:t>
      </w:r>
    </w:p>
    <w:p w14:paraId="09E50AF9">
      <w:pPr>
        <w:pStyle w:val="3"/>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江滩管理机构应当履行有关防汛的安全管理责任，接受区级水行政主管部门的监督管理，服从区防汛指挥机构的统一调度指挥。</w:t>
      </w:r>
    </w:p>
    <w:p w14:paraId="70916BF8">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区防汛指挥机构应当组织江滩所在辖区街道等基层组织参与江滩防汛值守等工作。【修订】</w:t>
      </w:r>
    </w:p>
    <w:p w14:paraId="1D9DA76D">
      <w:pPr>
        <w:pStyle w:val="3"/>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江滩管理机构应当制订防汛应急预案，遇有防汛突发事件，应当严格按照防汛应急预案采取相关措施，并及时向防汛指挥机构和水行政主管部门报告。【保留】</w:t>
      </w:r>
    </w:p>
    <w:p w14:paraId="14489381">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江滩秩序管理</w:t>
      </w:r>
    </w:p>
    <w:p w14:paraId="6E07E834">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江滩管理机构应当制定游园管理规范，建立健全日常</w:t>
      </w:r>
      <w:r>
        <w:rPr>
          <w:color w:val="000000" w:themeColor="text1"/>
          <w:spacing w:val="4"/>
          <w14:textFill>
            <w14:solidFill>
              <w14:schemeClr w14:val="tx1"/>
            </w14:solidFill>
          </w14:textFill>
        </w:rPr>
        <w:t>巡查制</w:t>
      </w:r>
      <w:r>
        <w:rPr>
          <w:color w:val="000000" w:themeColor="text1"/>
          <w:spacing w:val="3"/>
          <w14:textFill>
            <w14:solidFill>
              <w14:schemeClr w14:val="tx1"/>
            </w14:solidFill>
          </w14:textFill>
        </w:rPr>
        <w:t>度</w:t>
      </w:r>
      <w:r>
        <w:rPr>
          <w:color w:val="000000" w:themeColor="text1"/>
          <w:spacing w:val="4"/>
          <w14:textFill>
            <w14:solidFill>
              <w14:schemeClr w14:val="tx1"/>
            </w14:solidFill>
          </w14:textFill>
        </w:rPr>
        <w:t>，对不文明行为进行劝阻</w:t>
      </w:r>
      <w:r>
        <w:rPr>
          <w:color w:val="000000" w:themeColor="text1"/>
          <w:spacing w:val="3"/>
          <w14:textFill>
            <w14:solidFill>
              <w14:schemeClr w14:val="tx1"/>
            </w14:solidFill>
          </w14:textFill>
        </w:rPr>
        <w:t>，</w:t>
      </w:r>
      <w:r>
        <w:rPr>
          <w:color w:val="000000" w:themeColor="text1"/>
          <w:spacing w:val="4"/>
          <w14:textFill>
            <w14:solidFill>
              <w14:schemeClr w14:val="tx1"/>
            </w14:solidFill>
          </w14:textFill>
        </w:rPr>
        <w:t>维护正常的游园秩</w:t>
      </w:r>
      <w:r>
        <w:rPr>
          <w:color w:val="000000" w:themeColor="text1"/>
          <w:spacing w:val="3"/>
          <w14:textFill>
            <w14:solidFill>
              <w14:schemeClr w14:val="tx1"/>
            </w14:solidFill>
          </w14:textFill>
        </w:rPr>
        <w:t>序</w:t>
      </w:r>
      <w:r>
        <w:rPr>
          <w:color w:val="000000" w:themeColor="text1"/>
          <w:spacing w:val="-6"/>
          <w14:textFill>
            <w14:solidFill>
              <w14:schemeClr w14:val="tx1"/>
            </w14:solidFill>
          </w14:textFill>
        </w:rPr>
        <w:t>。</w:t>
      </w:r>
      <w:r>
        <w:rPr>
          <w:color w:val="000000" w:themeColor="text1"/>
          <w14:textFill>
            <w14:solidFill>
              <w14:schemeClr w14:val="tx1"/>
            </w14:solidFill>
          </w14:textFill>
        </w:rPr>
        <w:t>【保留】</w:t>
      </w:r>
    </w:p>
    <w:p w14:paraId="4AC4A1C1">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江滩内禁止下列行为：</w:t>
      </w:r>
    </w:p>
    <w:p w14:paraId="2D668609">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携带、销售和燃放孔明灯等容易引起火灾的物品；</w:t>
      </w:r>
    </w:p>
    <w:p w14:paraId="14F2BFD0">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携带管制器具、易燃易爆物品及其他危险品；</w:t>
      </w:r>
    </w:p>
    <w:p w14:paraId="575E1AA1">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非法集会、游行、示威，从事邪教活动；</w:t>
      </w:r>
    </w:p>
    <w:p w14:paraId="329A2F16">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未经批准散发宣传物品；</w:t>
      </w:r>
    </w:p>
    <w:p w14:paraId="64A6EE03">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擅自设摊经营、兜售物品；</w:t>
      </w:r>
    </w:p>
    <w:p w14:paraId="4472BE05">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在公共场所、设施、树木上涂写、刻画；</w:t>
      </w:r>
    </w:p>
    <w:p w14:paraId="70E50089">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未经批准或者未按照批准内容张贴、悬挂宣传品；</w:t>
      </w:r>
    </w:p>
    <w:p w14:paraId="2B88D937">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随地吐痰、便溺，乱扔废弃物；</w:t>
      </w:r>
    </w:p>
    <w:p w14:paraId="6A33598A">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焚烧树叶、垃圾或者其他废弃物；</w:t>
      </w:r>
    </w:p>
    <w:p w14:paraId="0C7A2BF5">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私自焚烧芦苇、采挖芦笋、捕捉或者伤害动物；</w:t>
      </w:r>
    </w:p>
    <w:p w14:paraId="7E11BE17">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在设施、树木上晾晒、吊挂物品；</w:t>
      </w:r>
    </w:p>
    <w:p w14:paraId="3FB6B098">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使用高音喇叭或者采取其他发出高噪声方式招揽游客；</w:t>
      </w:r>
    </w:p>
    <w:p w14:paraId="61DB8955">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违法垂钓及擅自放生动物；</w:t>
      </w:r>
    </w:p>
    <w:p w14:paraId="21760642">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损坏绿化或</w:t>
      </w:r>
      <w:r>
        <w:rPr>
          <w:rFonts w:hint="eastAsia"/>
          <w:color w:val="000000" w:themeColor="text1"/>
          <w:lang w:val="en-US" w:eastAsia="zh-CN"/>
          <w14:textFill>
            <w14:solidFill>
              <w14:schemeClr w14:val="tx1"/>
            </w14:solidFill>
          </w14:textFill>
        </w:rPr>
        <w:t>配套</w:t>
      </w:r>
      <w:r>
        <w:rPr>
          <w:color w:val="000000" w:themeColor="text1"/>
          <w14:textFill>
            <w14:solidFill>
              <w14:schemeClr w14:val="tx1"/>
            </w14:solidFill>
          </w14:textFill>
        </w:rPr>
        <w:t>设施；</w:t>
      </w:r>
    </w:p>
    <w:p w14:paraId="7CEFF660">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从事餐饮经营排放油烟、直排生活污水，污染周围环境；</w:t>
      </w:r>
    </w:p>
    <w:p w14:paraId="1DBC3660">
      <w:pPr>
        <w:pStyle w:val="3"/>
        <w:keepNext w:val="0"/>
        <w:keepLines w:val="0"/>
        <w:pageBreakBefore w:val="0"/>
        <w:numPr>
          <w:ilvl w:val="0"/>
          <w:numId w:val="5"/>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损坏江滩设施、影响江滩环境、公共秩序、公共安全的其他行为。【修订】</w:t>
      </w:r>
    </w:p>
    <w:p w14:paraId="12ACB079">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在江滩内开展下列活动，应当符合江滩管理规范，并在规定时间和区域内进行：</w:t>
      </w:r>
    </w:p>
    <w:p w14:paraId="2DFFDD4A">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营火、宿营；</w:t>
      </w:r>
    </w:p>
    <w:p w14:paraId="1C11117F">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展示、悬挂标语或横幅；</w:t>
      </w:r>
    </w:p>
    <w:p w14:paraId="53A6F220">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无人机飞行；</w:t>
      </w:r>
    </w:p>
    <w:p w14:paraId="00A5FF85">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放风筝；</w:t>
      </w:r>
    </w:p>
    <w:p w14:paraId="61C4E5E1">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跳广场舞；</w:t>
      </w:r>
    </w:p>
    <w:p w14:paraId="546DAB14">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滑板、轮滑、运动单车；</w:t>
      </w:r>
    </w:p>
    <w:p w14:paraId="63CCD06E">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网络直播、经营性摄像拍照；</w:t>
      </w:r>
    </w:p>
    <w:p w14:paraId="1EFD077B">
      <w:pPr>
        <w:pStyle w:val="3"/>
        <w:keepNext w:val="0"/>
        <w:keepLines w:val="0"/>
        <w:pageBreakBefore w:val="0"/>
        <w:numPr>
          <w:ilvl w:val="0"/>
          <w:numId w:val="6"/>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干扰正常游园秩序的其他活动。</w:t>
      </w:r>
    </w:p>
    <w:p w14:paraId="20399155">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江滩管理机构应当会同有关部门，根据安全风险、环境影响、区域条件等实际情况，充分听取各方面意见，确定本条规定的特定区域、特定时间段的活动秩序要求，并通过设置标识等方式向社会公众进行提示、告知。【修订】</w:t>
      </w:r>
    </w:p>
    <w:p w14:paraId="16506766">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江滩管理机构应当在江滩内划定专门区域，用于集中开展健身、演出等活动，并配置相应的服务设施，方便市民使用。</w:t>
      </w:r>
    </w:p>
    <w:p w14:paraId="3DA50C43">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开展前款规定活动的组织者应当到江滩管理机构登记。组织者、活动参加者应当服从江滩管理机构管理，在规定的时间和区域内开展活动，并遵守环境噪声及安全管理规定。【保留】</w:t>
      </w:r>
    </w:p>
    <w:p w14:paraId="060B3B14">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在江滩内从事商业活动或者大型公益活动的，举办方应当与江滩管理机构签订协议，需要办理相关审批手续的，应当依法办理审批手续。【保留】</w:t>
      </w:r>
    </w:p>
    <w:p w14:paraId="50A5AB81">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除老年人、残障人士、儿童等代步用的车辆外，其他车辆经江滩管理机构允许后，方可进入江滩。</w:t>
      </w:r>
    </w:p>
    <w:p w14:paraId="0AFE0DD7">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经允许进入江滩的车辆，应当按照规定线路和速度行驶，并在指定区域停放。各江滩管理机构应当对经允许进入江滩的机动车辆实行总量控制。【修订】</w:t>
      </w:r>
    </w:p>
    <w:p w14:paraId="6F8A309A">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在禁止宠物进入的区域，江滩管理机构应当设置明显标志。【保留】</w:t>
      </w:r>
    </w:p>
    <w:p w14:paraId="7B034ABC">
      <w:pPr>
        <w:pStyle w:val="3"/>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江滩内设置游乐、康乐和其他服务设施，举办文旅、体育、展览、市集等活动，应当合理布局，与江滩功能、规模、景观相协调，不得损害江滩环境。【修订】</w:t>
      </w:r>
    </w:p>
    <w:p w14:paraId="65CAAB77">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江滩安全管理</w:t>
      </w:r>
    </w:p>
    <w:p w14:paraId="5ADE96BA">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江滩管理机构应当建立安全管理制度，制订突发事件应急预案。遇有紧急情况或者突发事件，应当按照应急预案采取临时闭园、限制游人进入特定区域、疏散游人等措施，并及时向相关主管部门报告。【保留】</w:t>
      </w:r>
    </w:p>
    <w:p w14:paraId="45E0691C">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江滩管理机构应当按照有关规定做好防风、防火和安全用电等工作，及时</w:t>
      </w:r>
      <w:r>
        <w:rPr>
          <w:rFonts w:hint="eastAsia"/>
          <w:color w:val="000000" w:themeColor="text1"/>
          <w:lang w:val="en-US" w:eastAsia="zh-CN"/>
          <w14:textFill>
            <w14:solidFill>
              <w14:schemeClr w14:val="tx1"/>
            </w14:solidFill>
          </w14:textFill>
        </w:rPr>
        <w:t>消除</w:t>
      </w:r>
      <w:r>
        <w:rPr>
          <w:color w:val="000000" w:themeColor="text1"/>
          <w14:textFill>
            <w14:solidFill>
              <w14:schemeClr w14:val="tx1"/>
            </w14:solidFill>
          </w14:textFill>
        </w:rPr>
        <w:t>枯枝危树等安全隐患，配备消防、抢救器材等应急救援设备设施，并定期保养、更新。【修订】</w:t>
      </w:r>
    </w:p>
    <w:p w14:paraId="2C8618BF">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江滩内应当合理布建视频监控设施，加强公共安全秩序管理和突发事件监测，落实应急医疗救护措施，保障游客生命财产安全。【修订】</w:t>
      </w:r>
    </w:p>
    <w:p w14:paraId="0579A9FA">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在江滩内举办大型活动，应当征得江滩管理机构同意，举办方应当与江滩管理机构签订安全责任书，明确举办活动的时间、地点、内容、范围、要求和有关责任。</w:t>
      </w:r>
    </w:p>
    <w:p w14:paraId="7D4DA122">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活动举办方是安全工作的责任人，江滩管理机构应当督促举办方落实安全措施，履行安全责任。【修订】</w:t>
      </w:r>
    </w:p>
    <w:p w14:paraId="3BDED449">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在江滩内开展高风险活动的单位或个人，应当报有关主管部门批准。江滩管理机构可以根据气象条件、游园安全秩序状况的变化随时要求停止举办高风险活动。【修订】</w:t>
      </w:r>
    </w:p>
    <w:p w14:paraId="098A776E">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江滩内涉及人身安全的游乐、康乐设施应当依法经相关主管部门验收合格后方可使用，其维护管理责任人应当定期检测，加强日常维修保养。【保留】</w:t>
      </w:r>
    </w:p>
    <w:p w14:paraId="1A8B622B">
      <w:pPr>
        <w:pStyle w:val="3"/>
        <w:keepNext w:val="0"/>
        <w:keepLines w:val="0"/>
        <w:pageBreakBefore w:val="0"/>
        <w:numPr>
          <w:ilvl w:val="0"/>
          <w:numId w:val="7"/>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市和</w:t>
      </w:r>
      <w:r>
        <w:rPr>
          <w:rFonts w:hint="eastAsia"/>
          <w:color w:val="000000" w:themeColor="text1"/>
          <w:lang w:val="en-US" w:eastAsia="zh-CN"/>
          <w14:textFill>
            <w14:solidFill>
              <w14:schemeClr w14:val="tx1"/>
            </w14:solidFill>
          </w14:textFill>
        </w:rPr>
        <w:t>沿岸各区</w:t>
      </w:r>
      <w:r>
        <w:rPr>
          <w:color w:val="000000" w:themeColor="text1"/>
          <w14:textFill>
            <w14:solidFill>
              <w14:schemeClr w14:val="tx1"/>
            </w14:solidFill>
          </w14:textFill>
        </w:rPr>
        <w:t>公安部门应当建立高峰期大客流应对处置机制和安全预警信息发布制度，在重要空间节点安装人流预警装置；江滩内客流实施动态监测、报告预警，并及时发布相关信息，必要时采取限流、分流等应急措施。沿岸江滩管理机构应当配合有关部门落实大客流应对措施。【新增】</w:t>
      </w:r>
    </w:p>
    <w:p w14:paraId="61090FAE">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江滩服务保障</w:t>
      </w:r>
    </w:p>
    <w:p w14:paraId="21586255">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江滩管理机构应当加强绿化及环境卫生管理，及时清理江滩滩涂垃圾，保持江滩整洁和环境卫生设施完好。【保留】</w:t>
      </w:r>
    </w:p>
    <w:p w14:paraId="6D346CFD">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w:t>
      </w:r>
      <w:r>
        <w:rPr>
          <w:rFonts w:hint="eastAsia"/>
          <w:color w:val="000000" w:themeColor="text1"/>
          <w:lang w:val="en-US" w:eastAsia="zh-CN"/>
          <w14:textFill>
            <w14:solidFill>
              <w14:schemeClr w14:val="tx1"/>
            </w14:solidFill>
          </w14:textFill>
        </w:rPr>
        <w:t>应当</w:t>
      </w:r>
      <w:r>
        <w:rPr>
          <w:color w:val="000000" w:themeColor="text1"/>
          <w14:textFill>
            <w14:solidFill>
              <w14:schemeClr w14:val="tx1"/>
            </w14:solidFill>
          </w14:textFill>
        </w:rPr>
        <w:t>对江滩内基础设施、公共服务设施进行维护养护，确保设施完好和功能正常。【新增】</w:t>
      </w:r>
    </w:p>
    <w:p w14:paraId="56CC0E2E">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江滩管理机构应当制定游园服务规范。管理和服务人员应当依照规范要求，为游客提供文明、热情、周到、方便的服务。【保留】</w:t>
      </w:r>
    </w:p>
    <w:p w14:paraId="4726FB65">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江滩管理机构应当在江滩内合理设置智能导览、服务标志、安全警示、游客须知等指示标识。</w:t>
      </w:r>
    </w:p>
    <w:p w14:paraId="0B8B7A3D">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根据江滩特点，集约化利用江滩公共空间的设施，布局便民服务、环境卫生、防汛救援、公益宣传等服务设施。江滩管理机构应当根据江滩的特点开展健康有益的观光游览和文化、体育、宣传、教育、科普等活动，向公众宣传防洪、人文等知识。【修订】</w:t>
      </w:r>
    </w:p>
    <w:p w14:paraId="67FF27FD">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江滩内应当合理布局并配套提供满足开放需求的餐饮、便利零售、文化创意产品、文体场所、游览车辆租赁等经营性服务。【新增】</w:t>
      </w:r>
    </w:p>
    <w:p w14:paraId="1E669AEA">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江滩管理机构应当建立志愿服务机制，鼓励、支持和组织公众参与江滩志愿服务活动，江滩管理机构应当为其提供便利条件。【修订】</w:t>
      </w:r>
    </w:p>
    <w:p w14:paraId="6783C4E6">
      <w:pPr>
        <w:pStyle w:val="3"/>
        <w:keepNext w:val="0"/>
        <w:keepLines w:val="0"/>
        <w:pageBreakBefore w:val="0"/>
        <w:numPr>
          <w:ilvl w:val="0"/>
          <w:numId w:val="8"/>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color w:val="000000" w:themeColor="text1"/>
          <w14:textFill>
            <w14:solidFill>
              <w14:schemeClr w14:val="tx1"/>
            </w14:solidFill>
          </w14:textFill>
        </w:rPr>
        <w:t>江滩应当每天对社会公众开放，江滩管理机构应当公布每日开园和闭园时间。因防汛抢险、维修改造、筹备大型活动、公共卫生安全和其他突发事件应急处置等原因需要临时封闭的，江滩管理机构应当报水行政主管部门同意，封闭区段及时间段应提前进行公示。【修订】</w:t>
      </w:r>
    </w:p>
    <w:p w14:paraId="3255C92C">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江滩规划利用</w:t>
      </w:r>
    </w:p>
    <w:p w14:paraId="2787C2DC">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b/>
          <w:color w:val="000000" w:themeColor="text1"/>
          <w14:textFill>
            <w14:solidFill>
              <w14:schemeClr w14:val="tx1"/>
            </w14:solidFill>
          </w14:textFill>
        </w:rPr>
        <w:t>第三十九条</w:t>
      </w:r>
      <w:r>
        <w:rPr>
          <w:color w:val="000000" w:themeColor="text1"/>
          <w14:textFill>
            <w14:solidFill>
              <w14:schemeClr w14:val="tx1"/>
            </w14:solidFill>
          </w14:textFill>
        </w:rPr>
        <w:t xml:space="preserve"> 市水行政主管部门应当编制江滩保护利用总体规划，总体规划是江滩保护、建设、利用和管理的依据，任何单位和个人都应当遵守。江滩总体规划应当依据江滩的特点、需求，明确江滩范围、规模、性质，科学划定功能分区和空间布局，指导江滩的合理利用，明确保护措施，设置必备的文旅服务配套和公共服务设施，确定江滩资源合理利用方式，促进可持续发展。【新增】</w:t>
      </w:r>
    </w:p>
    <w:p w14:paraId="47774A32">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b/>
          <w:color w:val="000000" w:themeColor="text1"/>
          <w14:textFill>
            <w14:solidFill>
              <w14:schemeClr w14:val="tx1"/>
            </w14:solidFill>
          </w14:textFill>
        </w:rPr>
        <w:t>第四十条</w:t>
      </w:r>
      <w:r>
        <w:rPr>
          <w:color w:val="000000" w:themeColor="text1"/>
          <w14:textFill>
            <w14:solidFill>
              <w14:schemeClr w14:val="tx1"/>
            </w14:solidFill>
          </w14:textFill>
        </w:rPr>
        <w:t xml:space="preserve"> 在江滩范围内开展建设、社会和经营服务等活动应当符合环境保护有关规定，应实现江滩资源可持续利用，不得影响江滩自然生态功能和大气环境，不得对水利工程设施、水资源、水环境、水域岸线、水土保持等造成不利影响。【新增】</w:t>
      </w:r>
    </w:p>
    <w:p w14:paraId="473B5B5D">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b/>
          <w:color w:val="000000" w:themeColor="text1"/>
          <w14:textFill>
            <w14:solidFill>
              <w14:schemeClr w14:val="tx1"/>
            </w14:solidFill>
          </w14:textFill>
        </w:rPr>
        <w:t>第四十一条</w:t>
      </w:r>
      <w:r>
        <w:rPr>
          <w:color w:val="000000" w:themeColor="text1"/>
          <w14:textFill>
            <w14:solidFill>
              <w14:schemeClr w14:val="tx1"/>
            </w14:solidFill>
          </w14:textFill>
        </w:rPr>
        <w:t xml:space="preserve"> 江滩管理机构应当根据江滩生态环境承载能力等江滩保护的需要，制定江滩经营服务的专项规划和负面清单，科学设定江滩内经营服务网点数量，规范经营者行为，保护江滩生态环境，保持良好秩序。</w:t>
      </w:r>
    </w:p>
    <w:p w14:paraId="25C5DE03">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江滩内经营服务网点的设置由江滩管理机构统一规划、合理布局和监管，并与江滩景观和环境相协调。鼓励经营者优化资源配置、创新业态。【新增】</w:t>
      </w:r>
    </w:p>
    <w:p w14:paraId="54D6BEE5">
      <w:pPr>
        <w:pStyle w:val="3"/>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r>
        <w:rPr>
          <w:b/>
          <w:color w:val="000000" w:themeColor="text1"/>
          <w14:textFill>
            <w14:solidFill>
              <w14:schemeClr w14:val="tx1"/>
            </w14:solidFill>
          </w14:textFill>
        </w:rPr>
        <w:t>第四十二条</w:t>
      </w:r>
      <w:r>
        <w:rPr>
          <w:color w:val="000000" w:themeColor="text1"/>
          <w14:textFill>
            <w14:solidFill>
              <w14:schemeClr w14:val="tx1"/>
            </w14:solidFill>
          </w14:textFill>
        </w:rPr>
        <w:t xml:space="preserve"> 在江滩内从事经营活动应当符合江滩服务网点与生态规划，并报经江滩管理机构审核。经营者依法从事经营服务活动，禁止擅自搭棚、设摊、设点、扩面经营、出店经营。【新增】</w:t>
      </w:r>
    </w:p>
    <w:p w14:paraId="5475EF87">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法律责任</w:t>
      </w:r>
    </w:p>
    <w:p w14:paraId="026383E7">
      <w:pPr>
        <w:pStyle w:val="3"/>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rFonts w:hint="eastAsia" w:ascii="仿宋_GB2312" w:hAnsi="仿宋_GB2312" w:eastAsia="仿宋_GB2312" w:cs="仿宋_GB2312"/>
          <w:b/>
          <w:color w:val="000000" w:themeColor="text1"/>
          <w:spacing w:val="-6"/>
          <w:sz w:val="32"/>
          <w:szCs w:val="32"/>
          <w14:textFill>
            <w14:solidFill>
              <w14:schemeClr w14:val="tx1"/>
            </w14:solidFill>
          </w14:textFill>
        </w:rPr>
        <w:t>第四十</w:t>
      </w:r>
      <w:r>
        <w:rPr>
          <w:rFonts w:hint="eastAsia" w:cs="仿宋_GB2312"/>
          <w:b/>
          <w:color w:val="000000" w:themeColor="text1"/>
          <w:spacing w:val="-6"/>
          <w:sz w:val="32"/>
          <w:szCs w:val="32"/>
          <w:lang w:val="en-US" w:eastAsia="zh-CN"/>
          <w14:textFill>
            <w14:solidFill>
              <w14:schemeClr w14:val="tx1"/>
            </w14:solidFill>
          </w14:textFill>
        </w:rPr>
        <w:t>三</w:t>
      </w:r>
      <w:r>
        <w:rPr>
          <w:rFonts w:hint="eastAsia" w:ascii="仿宋_GB2312" w:hAnsi="仿宋_GB2312" w:eastAsia="仿宋_GB2312" w:cs="仿宋_GB2312"/>
          <w:b/>
          <w:color w:val="000000" w:themeColor="text1"/>
          <w:spacing w:val="-6"/>
          <w:sz w:val="32"/>
          <w:szCs w:val="32"/>
          <w14:textFill>
            <w14:solidFill>
              <w14:schemeClr w14:val="tx1"/>
            </w14:solidFill>
          </w14:textFill>
        </w:rPr>
        <w:t>条　</w:t>
      </w:r>
      <w:r>
        <w:rPr>
          <w:color w:val="000000" w:themeColor="text1"/>
          <w14:textFill>
            <w14:solidFill>
              <w14:schemeClr w14:val="tx1"/>
            </w14:solidFill>
          </w14:textFill>
        </w:rPr>
        <w:t>江滩管理机构负责组织江滩日常巡查工作，巡查人员发现有违反限制性或者禁止性规定行为的应当予以劝阻，劝阻无效的，应当及时向相关执法机构报告。【新增】</w:t>
      </w:r>
    </w:p>
    <w:p w14:paraId="78B9DE57">
      <w:pPr>
        <w:pStyle w:val="3"/>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6"/>
          <w:sz w:val="32"/>
          <w:szCs w:val="32"/>
          <w14:textFill>
            <w14:solidFill>
              <w14:schemeClr w14:val="tx1"/>
            </w14:solidFill>
          </w14:textFill>
        </w:rPr>
        <w:t>第四十</w:t>
      </w:r>
      <w:r>
        <w:rPr>
          <w:rFonts w:hint="eastAsia" w:cs="仿宋_GB2312"/>
          <w:b/>
          <w:bCs/>
          <w:color w:val="000000" w:themeColor="text1"/>
          <w:spacing w:val="-6"/>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spacing w:val="-6"/>
          <w:sz w:val="32"/>
          <w:szCs w:val="32"/>
          <w14:textFill>
            <w14:solidFill>
              <w14:schemeClr w14:val="tx1"/>
            </w14:solidFill>
          </w14:textFill>
        </w:rPr>
        <w:t>条　</w:t>
      </w:r>
      <w:r>
        <w:rPr>
          <w:color w:val="000000" w:themeColor="text1"/>
          <w14:textFill>
            <w14:solidFill>
              <w14:schemeClr w14:val="tx1"/>
            </w14:solidFill>
          </w14:textFill>
        </w:rPr>
        <w:t>在江滩内违反治安管理、道路交通管理规定的，由公安机关依法处理。【保留】</w:t>
      </w:r>
    </w:p>
    <w:p w14:paraId="6A98BF38">
      <w:pPr>
        <w:pStyle w:val="3"/>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rFonts w:hint="eastAsia" w:ascii="仿宋_GB2312" w:hAnsi="仿宋_GB2312" w:eastAsia="仿宋_GB2312" w:cs="仿宋_GB2312"/>
          <w:b/>
          <w:color w:val="000000" w:themeColor="text1"/>
          <w:spacing w:val="-6"/>
          <w:sz w:val="32"/>
          <w:szCs w:val="32"/>
          <w14:textFill>
            <w14:solidFill>
              <w14:schemeClr w14:val="tx1"/>
            </w14:solidFill>
          </w14:textFill>
        </w:rPr>
        <w:t>第四十</w:t>
      </w:r>
      <w:r>
        <w:rPr>
          <w:rFonts w:hint="eastAsia" w:cs="仿宋_GB2312"/>
          <w:b/>
          <w:color w:val="000000" w:themeColor="text1"/>
          <w:spacing w:val="-6"/>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spacing w:val="-6"/>
          <w:sz w:val="32"/>
          <w:szCs w:val="32"/>
          <w14:textFill>
            <w14:solidFill>
              <w14:schemeClr w14:val="tx1"/>
            </w14:solidFill>
          </w14:textFill>
        </w:rPr>
        <w:t>条　</w:t>
      </w:r>
      <w:r>
        <w:rPr>
          <w:color w:val="000000" w:themeColor="text1"/>
          <w14:textFill>
            <w14:solidFill>
              <w14:schemeClr w14:val="tx1"/>
            </w14:solidFill>
          </w14:textFill>
        </w:rPr>
        <w:t>有下列行为之一的，由水行政主管部门责令违法行为人限期改正，拒不改正的，按照下列规定予以处罚；造成损失的，由违法行为人依法承担赔偿责任：</w:t>
      </w:r>
    </w:p>
    <w:p w14:paraId="4C62DF11">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私自焚烧芦苇、采挖芦笋，在江滩内捕捉或者伤害动物的，处以50元以上500元以下罚款；</w:t>
      </w:r>
    </w:p>
    <w:p w14:paraId="33C0CBAE">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违反第十八条规定，未按规定时间和区域开展相关活动的，处以50元以上500元以下罚款；</w:t>
      </w:r>
    </w:p>
    <w:p w14:paraId="30F8F9D1">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 xml:space="preserve">进入江滩的车辆，违反第二十一条规定，处以50元以上500元以下罚款； </w:t>
      </w:r>
    </w:p>
    <w:p w14:paraId="286737F8">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携带宠物进入江滩禁止区域的，处以200元以上500元以下罚款；</w:t>
      </w:r>
    </w:p>
    <w:p w14:paraId="52BBCD66">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在江滩内集中开展健身、演出等活动的组织者、参与者，违反第十九条规定的，处以100元以上500元以下罚款；</w:t>
      </w:r>
    </w:p>
    <w:p w14:paraId="7162DD1E">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在江滩内开展商业活动或者大型公益活动，违反本办法第二十条规定的，处以1000元以上5000元以下罚款。</w:t>
      </w:r>
    </w:p>
    <w:p w14:paraId="1104FABD">
      <w:pPr>
        <w:pStyle w:val="3"/>
        <w:keepNext w:val="0"/>
        <w:keepLines w:val="0"/>
        <w:pageBreakBefore w:val="0"/>
        <w:numPr>
          <w:ilvl w:val="0"/>
          <w:numId w:val="9"/>
        </w:numPr>
        <w:kinsoku/>
        <w:wordWrap/>
        <w:overflowPunct/>
        <w:topLinePunct w:val="0"/>
        <w:autoSpaceDE/>
        <w:autoSpaceDN/>
        <w:bidi w:val="0"/>
        <w:adjustRightInd/>
        <w:snapToGrid/>
        <w:spacing w:line="579" w:lineRule="exact"/>
        <w:ind w:left="0" w:leftChars="0" w:firstLine="616" w:firstLineChars="0"/>
        <w:textAlignment w:val="auto"/>
        <w:rPr>
          <w:b w:val="0"/>
          <w:color w:val="000000" w:themeColor="text1"/>
          <w14:textFill>
            <w14:solidFill>
              <w14:schemeClr w14:val="tx1"/>
            </w14:solidFill>
          </w14:textFill>
        </w:rPr>
      </w:pPr>
      <w:r>
        <w:rPr>
          <w:color w:val="000000" w:themeColor="text1"/>
          <w14:textFill>
            <w14:solidFill>
              <w14:schemeClr w14:val="tx1"/>
            </w14:solidFill>
          </w14:textFill>
        </w:rPr>
        <w:t>其他法律另有规定的，依照其规定。【修订】</w:t>
      </w:r>
    </w:p>
    <w:p w14:paraId="127F78FC">
      <w:pPr>
        <w:pStyle w:val="3"/>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rFonts w:hint="eastAsia" w:ascii="仿宋_GB2312" w:hAnsi="仿宋_GB2312" w:eastAsia="仿宋_GB2312" w:cs="仿宋_GB2312"/>
          <w:b/>
          <w:color w:val="000000" w:themeColor="text1"/>
          <w:spacing w:val="-6"/>
          <w:sz w:val="32"/>
          <w:szCs w:val="32"/>
          <w14:textFill>
            <w14:solidFill>
              <w14:schemeClr w14:val="tx1"/>
            </w14:solidFill>
          </w14:textFill>
        </w:rPr>
        <w:t>第四十</w:t>
      </w:r>
      <w:r>
        <w:rPr>
          <w:rFonts w:hint="eastAsia" w:cs="仿宋_GB2312"/>
          <w:b/>
          <w:color w:val="000000" w:themeColor="text1"/>
          <w:spacing w:val="-6"/>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spacing w:val="-6"/>
          <w:sz w:val="32"/>
          <w:szCs w:val="32"/>
          <w14:textFill>
            <w14:solidFill>
              <w14:schemeClr w14:val="tx1"/>
            </w14:solidFill>
          </w14:textFill>
        </w:rPr>
        <w:t>条　</w:t>
      </w:r>
      <w:r>
        <w:rPr>
          <w:color w:val="000000" w:themeColor="text1"/>
          <w14:textFill>
            <w14:solidFill>
              <w14:schemeClr w14:val="tx1"/>
            </w14:solidFill>
          </w14:textFill>
        </w:rPr>
        <w:t>在江滩内有下列行为之一的，由相关执法机构依照有关法律、法规、规章的规定予以处罚：</w:t>
      </w:r>
    </w:p>
    <w:p w14:paraId="5102841A">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携带、销售和燃放孔明灯等容易引起火灾的物品；</w:t>
      </w:r>
    </w:p>
    <w:p w14:paraId="62501B4C">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未经批准散发经营性宣传物品的；</w:t>
      </w:r>
    </w:p>
    <w:p w14:paraId="5E66BAFC">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擅自设摊经营、兜售物品；</w:t>
      </w:r>
    </w:p>
    <w:p w14:paraId="5CCD84E4">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在公共场所、设施、树木上涂写、刻画的；</w:t>
      </w:r>
    </w:p>
    <w:p w14:paraId="6B31BBDD">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未经批准或者未按照批准内容张贴、悬挂宣传品的；</w:t>
      </w:r>
    </w:p>
    <w:p w14:paraId="387B7A1F">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随地吐痰、便溺，乱扔废弃物的；</w:t>
      </w:r>
    </w:p>
    <w:p w14:paraId="08FB20B7">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焚烧树叶、垃圾或者其他废弃物的；</w:t>
      </w:r>
    </w:p>
    <w:p w14:paraId="3CF637D8">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在设施、树木上晾晒、吊挂物品的；</w:t>
      </w:r>
    </w:p>
    <w:p w14:paraId="6D9D619D">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违法垂钓及放生；</w:t>
      </w:r>
    </w:p>
    <w:p w14:paraId="33CCCC09">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56" w:firstLineChars="200"/>
        <w:textAlignment w:val="auto"/>
        <w:rPr>
          <w:color w:val="000000" w:themeColor="text1"/>
          <w14:textFill>
            <w14:solidFill>
              <w14:schemeClr w14:val="tx1"/>
            </w14:solidFill>
          </w14:textFill>
        </w:rPr>
      </w:pPr>
      <w:r>
        <w:rPr>
          <w:color w:val="000000" w:themeColor="text1"/>
          <w:spacing w:val="4"/>
          <w14:textFill>
            <w14:solidFill>
              <w14:schemeClr w14:val="tx1"/>
            </w14:solidFill>
          </w14:textFill>
        </w:rPr>
        <w:t>用高音喇叭或者采取其他发出高噪声方法招揽</w:t>
      </w:r>
      <w:r>
        <w:rPr>
          <w:color w:val="000000" w:themeColor="text1"/>
          <w:spacing w:val="-6"/>
          <w14:textFill>
            <w14:solidFill>
              <w14:schemeClr w14:val="tx1"/>
            </w14:solidFill>
          </w14:textFill>
        </w:rPr>
        <w:t>游</w:t>
      </w:r>
      <w:r>
        <w:rPr>
          <w:color w:val="000000" w:themeColor="text1"/>
          <w14:textFill>
            <w14:solidFill>
              <w14:schemeClr w14:val="tx1"/>
            </w14:solidFill>
          </w14:textFill>
        </w:rPr>
        <w:t>客的；</w:t>
      </w:r>
    </w:p>
    <w:p w14:paraId="125BEB40">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损坏绿化和绿化设施的；</w:t>
      </w:r>
    </w:p>
    <w:p w14:paraId="5673C778">
      <w:pPr>
        <w:pStyle w:val="3"/>
        <w:keepNext w:val="0"/>
        <w:keepLines w:val="0"/>
        <w:pageBreakBefore w:val="0"/>
        <w:numPr>
          <w:ilvl w:val="0"/>
          <w:numId w:val="10"/>
        </w:numPr>
        <w:kinsoku/>
        <w:wordWrap/>
        <w:overflowPunct/>
        <w:topLinePunct w:val="0"/>
        <w:autoSpaceDE/>
        <w:autoSpaceDN/>
        <w:bidi w:val="0"/>
        <w:adjustRightInd/>
        <w:snapToGrid/>
        <w:spacing w:line="579" w:lineRule="exact"/>
        <w:ind w:left="0" w:leftChars="0" w:firstLine="616"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在江滩内从事餐饮经营排放油烟、直排生活污水、在江滩内烧烤等对周围环境造成污染的。【修订】</w:t>
      </w:r>
    </w:p>
    <w:p w14:paraId="7B05E80C">
      <w:pPr>
        <w:pStyle w:val="3"/>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616" w:firstLineChars="0"/>
        <w:textAlignment w:val="auto"/>
        <w:rPr>
          <w:b/>
          <w:color w:val="000000" w:themeColor="text1"/>
          <w14:textFill>
            <w14:solidFill>
              <w14:schemeClr w14:val="tx1"/>
            </w14:solidFill>
          </w14:textFill>
        </w:rPr>
      </w:pPr>
      <w:r>
        <w:rPr>
          <w:rFonts w:hint="eastAsia" w:ascii="仿宋_GB2312" w:hAnsi="仿宋_GB2312" w:eastAsia="仿宋_GB2312" w:cs="仿宋_GB2312"/>
          <w:b/>
          <w:color w:val="000000" w:themeColor="text1"/>
          <w:spacing w:val="-6"/>
          <w:sz w:val="32"/>
          <w:szCs w:val="32"/>
          <w14:textFill>
            <w14:solidFill>
              <w14:schemeClr w14:val="tx1"/>
            </w14:solidFill>
          </w14:textFill>
        </w:rPr>
        <w:t>第四十</w:t>
      </w:r>
      <w:r>
        <w:rPr>
          <w:rFonts w:hint="eastAsia" w:cs="仿宋_GB2312"/>
          <w:b/>
          <w:color w:val="000000" w:themeColor="text1"/>
          <w:spacing w:val="-6"/>
          <w:sz w:val="32"/>
          <w:szCs w:val="32"/>
          <w:lang w:val="en-US" w:eastAsia="zh-CN"/>
          <w14:textFill>
            <w14:solidFill>
              <w14:schemeClr w14:val="tx1"/>
            </w14:solidFill>
          </w14:textFill>
        </w:rPr>
        <w:t>七</w:t>
      </w:r>
      <w:r>
        <w:rPr>
          <w:rFonts w:hint="eastAsia" w:ascii="仿宋_GB2312" w:hAnsi="仿宋_GB2312" w:eastAsia="仿宋_GB2312" w:cs="仿宋_GB2312"/>
          <w:b/>
          <w:color w:val="000000" w:themeColor="text1"/>
          <w:spacing w:val="-6"/>
          <w:sz w:val="32"/>
          <w:szCs w:val="32"/>
          <w14:textFill>
            <w14:solidFill>
              <w14:schemeClr w14:val="tx1"/>
            </w14:solidFill>
          </w14:textFill>
        </w:rPr>
        <w:t>条　</w:t>
      </w:r>
      <w:r>
        <w:rPr>
          <w:color w:val="000000" w:themeColor="text1"/>
          <w14:textFill>
            <w14:solidFill>
              <w14:schemeClr w14:val="tx1"/>
            </w14:solidFill>
          </w14:textFill>
        </w:rPr>
        <w:t>江滩管理机构及其工作人员在江滩管理工作中玩忽职守、滥用职权、徇私舞弊的，对有关责任人员进行问责处理或者给予行政处分；构成犯罪的，依法追究刑事责任。【保留】</w:t>
      </w:r>
    </w:p>
    <w:p w14:paraId="72DD51B0">
      <w:pPr>
        <w:pStyle w:val="13"/>
        <w:keepNext w:val="0"/>
        <w:keepLines w:val="0"/>
        <w:pageBreakBefore w:val="0"/>
        <w:numPr>
          <w:ilvl w:val="0"/>
          <w:numId w:val="1"/>
        </w:numPr>
        <w:kinsoku/>
        <w:wordWrap/>
        <w:overflowPunct/>
        <w:topLinePunct w:val="0"/>
        <w:autoSpaceDE/>
        <w:autoSpaceDN/>
        <w:bidi w:val="0"/>
        <w:adjustRightInd/>
        <w:snapToGrid/>
        <w:spacing w:line="579" w:lineRule="exact"/>
        <w:ind w:left="0" w:leftChars="0" w:firstLine="0" w:firstLineChars="0"/>
        <w:textAlignment w:val="auto"/>
        <w:rPr>
          <w:b w:val="0"/>
        </w:rPr>
      </w:pPr>
      <w:r>
        <w:t>附则</w:t>
      </w:r>
    </w:p>
    <w:p w14:paraId="7B35EE51">
      <w:pPr>
        <w:pStyle w:val="3"/>
        <w:keepNext w:val="0"/>
        <w:keepLines w:val="0"/>
        <w:pageBreakBefore w:val="0"/>
        <w:kinsoku/>
        <w:wordWrap/>
        <w:overflowPunct/>
        <w:topLinePunct w:val="0"/>
        <w:autoSpaceDE/>
        <w:autoSpaceDN/>
        <w:bidi w:val="0"/>
        <w:adjustRightInd/>
        <w:snapToGrid/>
        <w:spacing w:line="579" w:lineRule="exact"/>
        <w:textAlignment w:val="auto"/>
      </w:pPr>
      <w:r>
        <w:rPr>
          <w:b/>
          <w:color w:val="000000" w:themeColor="text1"/>
          <w14:textFill>
            <w14:solidFill>
              <w14:schemeClr w14:val="tx1"/>
            </w14:solidFill>
          </w14:textFill>
        </w:rPr>
        <w:t>第</w:t>
      </w:r>
      <w:r>
        <w:rPr>
          <w:rFonts w:hint="eastAsia"/>
          <w:b/>
          <w:color w:val="000000" w:themeColor="text1"/>
          <w:lang w:val="en-US" w:eastAsia="zh-CN"/>
          <w14:textFill>
            <w14:solidFill>
              <w14:schemeClr w14:val="tx1"/>
            </w14:solidFill>
          </w14:textFill>
        </w:rPr>
        <w:t>四十八</w:t>
      </w:r>
      <w:r>
        <w:rPr>
          <w:b/>
          <w:color w:val="000000" w:themeColor="text1"/>
          <w14:textFill>
            <w14:solidFill>
              <w14:schemeClr w14:val="tx1"/>
            </w14:solidFill>
          </w14:textFill>
        </w:rPr>
        <w:t>条</w:t>
      </w:r>
      <w:r>
        <w:rPr>
          <w:color w:val="000000" w:themeColor="text1"/>
          <w14:textFill>
            <w14:solidFill>
              <w14:schemeClr w14:val="tx1"/>
            </w14:solidFill>
          </w14:textFill>
        </w:rPr>
        <w:t xml:space="preserve"> 本办法自    年  月   日起施行</w:t>
      </w:r>
      <w:r>
        <w:rPr>
          <w:rFonts w:hint="eastAsia"/>
          <w:color w:val="000000" w:themeColor="text1"/>
          <w:lang w:eastAsia="zh-CN"/>
          <w14:textFill>
            <w14:solidFill>
              <w14:schemeClr w14:val="tx1"/>
            </w14:solidFill>
          </w14:textFill>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75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2775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2775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5C9B5"/>
    <w:multiLevelType w:val="singleLevel"/>
    <w:tmpl w:val="8195C9B5"/>
    <w:lvl w:ilvl="0" w:tentative="0">
      <w:start w:val="1"/>
      <w:numFmt w:val="decimal"/>
      <w:suff w:val="nothing"/>
      <w:lvlText w:val="%1．"/>
      <w:lvlJc w:val="left"/>
      <w:pPr>
        <w:ind w:left="0" w:firstLine="616"/>
      </w:pPr>
      <w:rPr>
        <w:rFonts w:hint="default"/>
      </w:rPr>
    </w:lvl>
  </w:abstractNum>
  <w:abstractNum w:abstractNumId="1">
    <w:nsid w:val="C6EBE695"/>
    <w:multiLevelType w:val="singleLevel"/>
    <w:tmpl w:val="C6EBE695"/>
    <w:lvl w:ilvl="0" w:tentative="0">
      <w:start w:val="1"/>
      <w:numFmt w:val="decimal"/>
      <w:suff w:val="nothing"/>
      <w:lvlText w:val="%1．"/>
      <w:lvlJc w:val="left"/>
      <w:pPr>
        <w:ind w:left="0" w:firstLine="400"/>
      </w:pPr>
      <w:rPr>
        <w:rFonts w:hint="default"/>
      </w:rPr>
    </w:lvl>
  </w:abstractNum>
  <w:abstractNum w:abstractNumId="2">
    <w:nsid w:val="C7AAE22F"/>
    <w:multiLevelType w:val="singleLevel"/>
    <w:tmpl w:val="C7AAE22F"/>
    <w:lvl w:ilvl="0" w:tentative="0">
      <w:start w:val="1"/>
      <w:numFmt w:val="decimal"/>
      <w:suff w:val="nothing"/>
      <w:lvlText w:val="%1．"/>
      <w:lvlJc w:val="left"/>
      <w:pPr>
        <w:ind w:left="0" w:firstLine="616"/>
      </w:pPr>
      <w:rPr>
        <w:rFonts w:hint="default"/>
      </w:rPr>
    </w:lvl>
  </w:abstractNum>
  <w:abstractNum w:abstractNumId="3">
    <w:nsid w:val="CE28BD8F"/>
    <w:multiLevelType w:val="singleLevel"/>
    <w:tmpl w:val="CE28BD8F"/>
    <w:lvl w:ilvl="0" w:tentative="0">
      <w:start w:val="16"/>
      <w:numFmt w:val="chineseCounting"/>
      <w:suff w:val="nothing"/>
      <w:lvlText w:val="第%1条　"/>
      <w:lvlJc w:val="left"/>
      <w:pPr>
        <w:ind w:left="0" w:firstLine="616"/>
      </w:pPr>
      <w:rPr>
        <w:rFonts w:hint="eastAsia"/>
      </w:rPr>
    </w:lvl>
  </w:abstractNum>
  <w:abstractNum w:abstractNumId="4">
    <w:nsid w:val="CF7F4D6A"/>
    <w:multiLevelType w:val="singleLevel"/>
    <w:tmpl w:val="CF7F4D6A"/>
    <w:lvl w:ilvl="0" w:tentative="0">
      <w:start w:val="31"/>
      <w:numFmt w:val="chineseCounting"/>
      <w:suff w:val="nothing"/>
      <w:lvlText w:val="第%1条　"/>
      <w:lvlJc w:val="left"/>
      <w:pPr>
        <w:ind w:left="0" w:firstLine="616"/>
      </w:pPr>
      <w:rPr>
        <w:rFonts w:hint="eastAsia"/>
      </w:rPr>
    </w:lvl>
  </w:abstractNum>
  <w:abstractNum w:abstractNumId="5">
    <w:nsid w:val="D0909AA5"/>
    <w:multiLevelType w:val="singleLevel"/>
    <w:tmpl w:val="D0909AA5"/>
    <w:lvl w:ilvl="0" w:tentative="0">
      <w:start w:val="11"/>
      <w:numFmt w:val="chineseCounting"/>
      <w:suff w:val="nothing"/>
      <w:lvlText w:val="第%1条　"/>
      <w:lvlJc w:val="left"/>
      <w:pPr>
        <w:ind w:left="0" w:firstLine="616"/>
      </w:pPr>
      <w:rPr>
        <w:rFonts w:hint="eastAsia"/>
      </w:rPr>
    </w:lvl>
  </w:abstractNum>
  <w:abstractNum w:abstractNumId="6">
    <w:nsid w:val="F9CA9D67"/>
    <w:multiLevelType w:val="singleLevel"/>
    <w:tmpl w:val="F9CA9D67"/>
    <w:lvl w:ilvl="0" w:tentative="0">
      <w:start w:val="1"/>
      <w:numFmt w:val="decimal"/>
      <w:suff w:val="nothing"/>
      <w:lvlText w:val="%1．"/>
      <w:lvlJc w:val="left"/>
      <w:pPr>
        <w:ind w:left="0" w:firstLine="616"/>
      </w:pPr>
      <w:rPr>
        <w:rFonts w:hint="default"/>
      </w:rPr>
    </w:lvl>
  </w:abstractNum>
  <w:abstractNum w:abstractNumId="7">
    <w:nsid w:val="0136FF18"/>
    <w:multiLevelType w:val="singleLevel"/>
    <w:tmpl w:val="0136FF18"/>
    <w:lvl w:ilvl="0" w:tentative="0">
      <w:start w:val="1"/>
      <w:numFmt w:val="taiwaneseCounting"/>
      <w:suff w:val="space"/>
      <w:lvlText w:val="第%1章"/>
      <w:lvlJc w:val="left"/>
      <w:pPr>
        <w:ind w:left="0" w:firstLine="0"/>
      </w:pPr>
      <w:rPr>
        <w:rFonts w:hint="eastAsia"/>
      </w:rPr>
    </w:lvl>
  </w:abstractNum>
  <w:abstractNum w:abstractNumId="8">
    <w:nsid w:val="0408291C"/>
    <w:multiLevelType w:val="singleLevel"/>
    <w:tmpl w:val="0408291C"/>
    <w:lvl w:ilvl="0" w:tentative="0">
      <w:start w:val="24"/>
      <w:numFmt w:val="chineseCounting"/>
      <w:suff w:val="nothing"/>
      <w:lvlText w:val="第%1条　"/>
      <w:lvlJc w:val="left"/>
      <w:pPr>
        <w:ind w:left="0" w:firstLine="616"/>
      </w:pPr>
      <w:rPr>
        <w:rFonts w:hint="eastAsia"/>
      </w:rPr>
    </w:lvl>
  </w:abstractNum>
  <w:abstractNum w:abstractNumId="9">
    <w:nsid w:val="53106B8E"/>
    <w:multiLevelType w:val="singleLevel"/>
    <w:tmpl w:val="53106B8E"/>
    <w:lvl w:ilvl="0" w:tentative="0">
      <w:start w:val="1"/>
      <w:numFmt w:val="chineseCounting"/>
      <w:suff w:val="nothing"/>
      <w:lvlText w:val="第%1条　"/>
      <w:lvlJc w:val="left"/>
      <w:pPr>
        <w:ind w:left="0" w:firstLine="616"/>
      </w:pPr>
      <w:rPr>
        <w:rFonts w:hint="eastAsia"/>
      </w:rPr>
    </w:lvl>
  </w:abstractNum>
  <w:num w:numId="1">
    <w:abstractNumId w:val="7"/>
  </w:num>
  <w:num w:numId="2">
    <w:abstractNumId w:val="9"/>
  </w:num>
  <w:num w:numId="3">
    <w:abstractNumId w:val="5"/>
  </w:num>
  <w:num w:numId="4">
    <w:abstractNumId w:val="3"/>
  </w:num>
  <w:num w:numId="5">
    <w:abstractNumId w:val="2"/>
  </w:num>
  <w:num w:numId="6">
    <w:abstractNumId w:val="0"/>
  </w:num>
  <w:num w:numId="7">
    <w:abstractNumId w:val="8"/>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57903"/>
    <w:rsid w:val="01F9274C"/>
    <w:rsid w:val="041631C4"/>
    <w:rsid w:val="10FF1554"/>
    <w:rsid w:val="13750B64"/>
    <w:rsid w:val="143D70F4"/>
    <w:rsid w:val="1E6F6338"/>
    <w:rsid w:val="1F1F628A"/>
    <w:rsid w:val="22A2261D"/>
    <w:rsid w:val="245300E0"/>
    <w:rsid w:val="2A595713"/>
    <w:rsid w:val="2F920C43"/>
    <w:rsid w:val="34841EC4"/>
    <w:rsid w:val="38685317"/>
    <w:rsid w:val="4A6F56A3"/>
    <w:rsid w:val="4ED14499"/>
    <w:rsid w:val="57EC7194"/>
    <w:rsid w:val="70257903"/>
    <w:rsid w:val="78EB4E73"/>
    <w:rsid w:val="7B8E01BE"/>
    <w:rsid w:val="7BB3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1708</Words>
  <Characters>1762</Characters>
  <Lines>0</Lines>
  <Paragraphs>0</Paragraphs>
  <TotalTime>6</TotalTime>
  <ScaleCrop>false</ScaleCrop>
  <LinksUpToDate>false</LinksUpToDate>
  <CharactersWithSpaces>1762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2025-11-11T02:43:00Z</dcterms:created>
  <dc:creator>邓安琪</dc:creator>
  <cp:lastModifiedBy>aki</cp:lastModifiedBy>
  <cp:lastPrinted>2025-11-12T08:16:00Z</cp:lastPrinted>
  <dcterms:modified xsi:type="dcterms:W3CDTF">2025-11-12T09:10:23Z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FC9794ABDEC54847B768B987BF851F53_13</vt:lpwstr>
  </property>
  <property fmtid="{D5CDD505-2E9C-101B-9397-08002B2CF9AE}" pid="4" name="KSOTemplateDocerSaveRecord">
    <vt:lpwstr>eyJoZGlkIjoiNWExOGUxMzZkYjc3OWEyM2MwM2YyZmMwN2QwYzExMDgiLCJ1c2VySWQiOiIxMTc5NzY1ODA5In0=</vt:lpwstr>
  </property>
</Properties>
</file>