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963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F10C1B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武汉市</w:t>
      </w:r>
      <w:r>
        <w:rPr>
          <w:rFonts w:hint="eastAsia" w:ascii="方正小标宋简体" w:hAnsi="方正小标宋简体" w:eastAsia="方正小标宋简体" w:cs="方正小标宋简体"/>
          <w:sz w:val="44"/>
          <w:szCs w:val="44"/>
          <w:lang w:eastAsia="zh-CN"/>
        </w:rPr>
        <w:t>城市生活污水处理项目</w:t>
      </w:r>
      <w:r>
        <w:rPr>
          <w:rFonts w:hint="eastAsia" w:ascii="方正小标宋简体" w:hAnsi="方正小标宋简体" w:eastAsia="方正小标宋简体" w:cs="方正小标宋简体"/>
          <w:sz w:val="44"/>
          <w:szCs w:val="44"/>
        </w:rPr>
        <w:t>运</w:t>
      </w:r>
      <w:bookmarkStart w:id="1" w:name="_GoBack"/>
      <w:bookmarkEnd w:id="1"/>
      <w:r>
        <w:rPr>
          <w:rFonts w:hint="eastAsia" w:ascii="方正小标宋简体" w:hAnsi="方正小标宋简体" w:eastAsia="方正小标宋简体" w:cs="方正小标宋简体"/>
          <w:sz w:val="44"/>
          <w:szCs w:val="44"/>
        </w:rPr>
        <w:t>营补贴</w:t>
      </w:r>
    </w:p>
    <w:p w14:paraId="0BB7240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指导意见</w:t>
      </w:r>
    </w:p>
    <w:p w14:paraId="5903C2B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4DB04BD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cs="仿宋_GB2312"/>
          <w:i w:val="0"/>
          <w:iCs w:val="0"/>
          <w:caps w:val="0"/>
          <w:color w:val="auto"/>
          <w:spacing w:val="0"/>
          <w:sz w:val="32"/>
          <w:szCs w:val="32"/>
          <w:lang w:val="en-US" w:eastAsia="zh-CN"/>
        </w:rPr>
      </w:pPr>
    </w:p>
    <w:p w14:paraId="394326F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cs="仿宋_GB2312"/>
          <w:i w:val="0"/>
          <w:iCs w:val="0"/>
          <w:caps w:val="0"/>
          <w:color w:val="auto"/>
          <w:spacing w:val="0"/>
          <w:sz w:val="32"/>
          <w:szCs w:val="32"/>
          <w:lang w:val="en-US" w:eastAsia="zh-CN"/>
        </w:rPr>
      </w:pPr>
      <w:r>
        <w:rPr>
          <w:rFonts w:hint="eastAsia" w:ascii="仿宋_GB2312" w:hAnsi="仿宋_GB2312" w:cs="仿宋_GB2312"/>
          <w:i w:val="0"/>
          <w:iCs w:val="0"/>
          <w:caps w:val="0"/>
          <w:color w:val="auto"/>
          <w:spacing w:val="0"/>
          <w:sz w:val="32"/>
          <w:szCs w:val="32"/>
          <w:lang w:val="en-US" w:eastAsia="zh-CN"/>
        </w:rPr>
        <w:t>为进一步规范我市城市生活污水处理设施稳定有序运行，促进污水处理行业健康发展，根据《城镇排水与污水处理条例》（国务院令第641号）、《污水处理费征收使用管理办法》（财税〔2014〕151号）、《国务院办公厅转发国家发展改革委 财政部〈关于规范实施政府和社会资本合作新机制的指导意见〉的通知》（国办函〔2023〕115号）、《基础设施和公用事业特许经营管理办法》（国家发展改革委等6部门令2024年第17号）、《国家发展改革委办公厅关于进一步做好政府和社会资本合作新机制项目规范实施工作的通知》（发改办投资〔2024〕1013号）、《省发改委关于明确武汉市六个远城区定价权限的通知》（鄂发改价调〔2025〕132号）等有关规定，结合我市实际，对收取的污水处理费不足以支付城市生活污水处理设施正常运营成本的实施运营补贴。具体意见如下：</w:t>
      </w:r>
    </w:p>
    <w:p w14:paraId="678A52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cs="仿宋_GB2312"/>
          <w:i w:val="0"/>
          <w:iCs w:val="0"/>
          <w:caps w:val="0"/>
          <w:color w:val="auto"/>
          <w:spacing w:val="0"/>
          <w:sz w:val="32"/>
          <w:szCs w:val="32"/>
          <w:lang w:val="en-US" w:eastAsia="zh-CN"/>
        </w:rPr>
      </w:pPr>
      <w:r>
        <w:rPr>
          <w:rFonts w:hint="eastAsia" w:ascii="国标黑体" w:hAnsi="国标黑体" w:eastAsia="国标黑体" w:cs="国标黑体"/>
          <w:i w:val="0"/>
          <w:iCs w:val="0"/>
          <w:caps w:val="0"/>
          <w:color w:val="auto"/>
          <w:spacing w:val="0"/>
          <w:sz w:val="32"/>
          <w:szCs w:val="32"/>
          <w:lang w:val="en-US" w:eastAsia="zh-CN"/>
        </w:rPr>
        <w:t>一、基本原则和适用范围。</w:t>
      </w:r>
      <w:r>
        <w:rPr>
          <w:rFonts w:hint="eastAsia" w:ascii="仿宋_GB2312" w:hAnsi="仿宋_GB2312" w:cs="仿宋_GB2312"/>
          <w:i w:val="0"/>
          <w:iCs w:val="0"/>
          <w:caps w:val="0"/>
          <w:color w:val="auto"/>
          <w:spacing w:val="0"/>
          <w:sz w:val="32"/>
          <w:szCs w:val="32"/>
          <w:lang w:val="en-US" w:eastAsia="zh-CN"/>
        </w:rPr>
        <w:t>本意见适用于武汉市范围内城市生活污水处理项目，具体包括城市生活污水收集管网系统（含泵站）、污水处理厂的运营管理。在具体执行过程中，应在严防新增地方政府隐性债务、符合法律法规和有关政策规定要求的前提下，政府补贴按规定用于运营；同步建立约束与激励相结合的运营补贴机制，激励运营主体通过技术创新、管理创新等方式不断降本增效，提升服务质量。</w:t>
      </w:r>
    </w:p>
    <w:p w14:paraId="2F467A6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cs="仿宋_GB2312"/>
          <w:i w:val="0"/>
          <w:iCs w:val="0"/>
          <w:caps w:val="0"/>
          <w:color w:val="auto"/>
          <w:spacing w:val="0"/>
          <w:sz w:val="32"/>
          <w:szCs w:val="32"/>
          <w:lang w:val="en-US" w:eastAsia="zh-CN"/>
        </w:rPr>
      </w:pPr>
      <w:r>
        <w:rPr>
          <w:rFonts w:hint="eastAsia" w:ascii="国标黑体" w:hAnsi="国标黑体" w:eastAsia="国标黑体" w:cs="国标黑体"/>
          <w:i w:val="0"/>
          <w:iCs w:val="0"/>
          <w:caps w:val="0"/>
          <w:color w:val="auto"/>
          <w:spacing w:val="0"/>
          <w:sz w:val="32"/>
          <w:szCs w:val="32"/>
          <w:lang w:val="en-US" w:eastAsia="zh-CN"/>
        </w:rPr>
        <w:t>二、市区分级制定补贴标准。</w:t>
      </w:r>
      <w:r>
        <w:rPr>
          <w:rFonts w:hint="eastAsia" w:ascii="仿宋_GB2312" w:hAnsi="仿宋_GB2312" w:cs="仿宋_GB2312"/>
          <w:i w:val="0"/>
          <w:iCs w:val="0"/>
          <w:caps w:val="0"/>
          <w:color w:val="auto"/>
          <w:spacing w:val="0"/>
          <w:sz w:val="32"/>
          <w:szCs w:val="32"/>
          <w:lang w:val="en-US" w:eastAsia="zh-CN"/>
        </w:rPr>
        <w:t>市、区水行政主管部门参照《省发改委办公室关于做好污水处理成本监审工作的通知》（鄂发改办成本〔2021〕8号）等相关规定科学合理测算污水处理运营成本，考虑合理利润和市场化因素，扣减收缴的污水处理费后，核算城市生活污水处理项目运营补贴标准，在征求同级发改、财政等部门意见并报同级人民政府同意后印发。区级补贴标准印发后，区水行政、财政主管部门分别向市水行政、财政主管部门报备。中心城区（含江岸、江汉、硚口、汉阳、武昌、青山、洪山、东湖风景区）实施的城市生活污水处理项目运营补贴标准由市水行政主管部门统一制定，新城区（含东西湖、江夏、黄陂、蔡甸、新洲区、东湖新技术开发区（武汉新城范围）、长江新区、经开（汉南）区）实施的城市生活污水处理项目运营补贴标准由各区水行政主管部门确定。</w:t>
      </w:r>
      <w:bookmarkStart w:id="0" w:name="OLE_LINK1"/>
      <w:r>
        <w:rPr>
          <w:rFonts w:hint="eastAsia" w:ascii="仿宋_GB2312" w:hAnsi="仿宋_GB2312" w:cs="仿宋_GB2312"/>
          <w:i w:val="0"/>
          <w:iCs w:val="0"/>
          <w:caps w:val="0"/>
          <w:color w:val="auto"/>
          <w:spacing w:val="0"/>
          <w:sz w:val="32"/>
          <w:szCs w:val="32"/>
          <w:lang w:val="en-US" w:eastAsia="zh-CN"/>
        </w:rPr>
        <w:t>根据国家、省有关政策要求以及运营成本变化情况补贴标准可动态调整。</w:t>
      </w:r>
      <w:bookmarkEnd w:id="0"/>
      <w:r>
        <w:rPr>
          <w:rFonts w:hint="eastAsia" w:ascii="仿宋_GB2312" w:hAnsi="仿宋_GB2312" w:cs="仿宋_GB2312"/>
          <w:i w:val="0"/>
          <w:iCs w:val="0"/>
          <w:caps w:val="0"/>
          <w:color w:val="auto"/>
          <w:spacing w:val="0"/>
          <w:sz w:val="32"/>
          <w:szCs w:val="32"/>
          <w:lang w:val="en-US" w:eastAsia="zh-CN"/>
        </w:rPr>
        <w:t>除法律法规和国家政策有明确规定外，不得针对具体项目设定任何保底约定或承诺。</w:t>
      </w:r>
    </w:p>
    <w:p w14:paraId="096ED6F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cs="仿宋_GB2312"/>
          <w:i w:val="0"/>
          <w:iCs w:val="0"/>
          <w:caps w:val="0"/>
          <w:color w:val="auto"/>
          <w:spacing w:val="0"/>
          <w:sz w:val="32"/>
          <w:szCs w:val="32"/>
          <w:lang w:val="en-US" w:eastAsia="zh-CN"/>
        </w:rPr>
      </w:pPr>
      <w:r>
        <w:rPr>
          <w:rFonts w:hint="eastAsia" w:ascii="国标黑体" w:hAnsi="国标黑体" w:eastAsia="国标黑体" w:cs="国标黑体"/>
          <w:i w:val="0"/>
          <w:iCs w:val="0"/>
          <w:caps w:val="0"/>
          <w:color w:val="auto"/>
          <w:spacing w:val="0"/>
          <w:sz w:val="32"/>
          <w:szCs w:val="32"/>
          <w:lang w:val="en-US" w:eastAsia="zh-CN"/>
        </w:rPr>
        <w:t>三、规范补贴资金管理。</w:t>
      </w:r>
      <w:r>
        <w:rPr>
          <w:rFonts w:hint="eastAsia" w:ascii="仿宋_GB2312" w:hAnsi="仿宋_GB2312" w:cs="仿宋_GB2312"/>
          <w:i w:val="0"/>
          <w:iCs w:val="0"/>
          <w:caps w:val="0"/>
          <w:color w:val="auto"/>
          <w:spacing w:val="0"/>
          <w:sz w:val="32"/>
          <w:szCs w:val="32"/>
          <w:lang w:val="en-US" w:eastAsia="zh-CN"/>
        </w:rPr>
        <w:t>市、各相关区分别承担相应财政支出责任，运营补贴应根据污水处理费征收使用情况制定资金预算，并及时足额纳入同级政府预算。每一年度年终，市、各相关区水行政主管部门应当会同财政部门编制当年度污水处理运营补贴资金使用决算，并根据污水收集处理设施的运行和维护情况，编制下一年度污水处理的运营补贴资金使用预算，经法定程序批准后执行。</w:t>
      </w:r>
    </w:p>
    <w:p w14:paraId="4590AA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cs="仿宋_GB2312"/>
          <w:i w:val="0"/>
          <w:iCs w:val="0"/>
          <w:caps w:val="0"/>
          <w:color w:val="auto"/>
          <w:spacing w:val="0"/>
          <w:sz w:val="32"/>
          <w:szCs w:val="32"/>
          <w:lang w:val="en-US" w:eastAsia="zh-CN"/>
        </w:rPr>
      </w:pPr>
      <w:r>
        <w:rPr>
          <w:rFonts w:hint="eastAsia" w:ascii="国标黑体" w:hAnsi="国标黑体" w:eastAsia="国标黑体" w:cs="国标黑体"/>
          <w:i w:val="0"/>
          <w:iCs w:val="0"/>
          <w:caps w:val="0"/>
          <w:color w:val="auto"/>
          <w:spacing w:val="0"/>
          <w:sz w:val="32"/>
          <w:szCs w:val="32"/>
          <w:lang w:val="en-US" w:eastAsia="zh-CN"/>
        </w:rPr>
        <w:t>四、加强项目绩效管理。</w:t>
      </w:r>
      <w:r>
        <w:rPr>
          <w:rFonts w:hint="eastAsia" w:ascii="仿宋_GB2312" w:hAnsi="仿宋_GB2312" w:cs="仿宋_GB2312"/>
          <w:i w:val="0"/>
          <w:iCs w:val="0"/>
          <w:caps w:val="0"/>
          <w:color w:val="auto"/>
          <w:spacing w:val="0"/>
          <w:sz w:val="32"/>
          <w:szCs w:val="32"/>
          <w:lang w:val="en-US" w:eastAsia="zh-CN"/>
        </w:rPr>
        <w:t>市、区水行政主管部门要健全考评激励机制，实施污水处理服务费与服务范围内污水厂进水污染物浓度、污染物削减量等挂钩的按效付费机制，同时，需对生活污水处理项目运营情况进行监测分析，定期开展运营评价，根据运营评价结果建立运营补贴标准动态调整机制。</w:t>
      </w:r>
    </w:p>
    <w:p w14:paraId="1B33591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cs="仿宋_GB2312"/>
          <w:i w:val="0"/>
          <w:iCs w:val="0"/>
          <w:caps w:val="0"/>
          <w:color w:val="auto"/>
          <w:spacing w:val="0"/>
          <w:sz w:val="32"/>
          <w:szCs w:val="32"/>
          <w:lang w:val="en-US" w:eastAsia="zh-CN"/>
        </w:rPr>
      </w:pPr>
      <w:r>
        <w:rPr>
          <w:rFonts w:hint="eastAsia" w:ascii="国标黑体" w:hAnsi="国标黑体" w:eastAsia="国标黑体" w:cs="国标黑体"/>
          <w:i w:val="0"/>
          <w:iCs w:val="0"/>
          <w:caps w:val="0"/>
          <w:color w:val="auto"/>
          <w:spacing w:val="0"/>
          <w:sz w:val="32"/>
          <w:szCs w:val="32"/>
          <w:lang w:val="en-US" w:eastAsia="zh-CN"/>
        </w:rPr>
        <w:t>五、其他。</w:t>
      </w:r>
      <w:r>
        <w:rPr>
          <w:rFonts w:hint="eastAsia" w:ascii="仿宋_GB2312" w:hAnsi="仿宋_GB2312" w:eastAsia="仿宋_GB2312" w:cs="仿宋_GB2312"/>
          <w:i w:val="0"/>
          <w:iCs w:val="0"/>
          <w:caps w:val="0"/>
          <w:color w:val="auto"/>
          <w:spacing w:val="0"/>
          <w:sz w:val="32"/>
          <w:szCs w:val="32"/>
          <w:lang w:val="en-US" w:eastAsia="zh-CN"/>
        </w:rPr>
        <w:t>本通知自印发之日起执行，</w:t>
      </w:r>
      <w:r>
        <w:rPr>
          <w:rFonts w:hint="eastAsia" w:ascii="仿宋_GB2312" w:hAnsi="仿宋_GB2312" w:cs="仿宋_GB2312"/>
          <w:i w:val="0"/>
          <w:iCs w:val="0"/>
          <w:caps w:val="0"/>
          <w:color w:val="auto"/>
          <w:spacing w:val="0"/>
          <w:sz w:val="32"/>
          <w:szCs w:val="32"/>
          <w:lang w:val="en-US" w:eastAsia="zh-CN"/>
        </w:rPr>
        <w:t>有效期2年。</w:t>
      </w:r>
    </w:p>
    <w:p w14:paraId="0C0171FC"/>
    <w:p w14:paraId="7E578393"/>
    <w:sectPr>
      <w:pgSz w:w="11906" w:h="16838"/>
      <w:pgMar w:top="1440" w:right="1803" w:bottom="1440" w:left="1803" w:header="851" w:footer="992" w:gutter="0"/>
      <w:cols w:space="72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37CB"/>
    <w:rsid w:val="0EE8624F"/>
    <w:rsid w:val="1C463E80"/>
    <w:rsid w:val="1DEF4023"/>
    <w:rsid w:val="21E12A67"/>
    <w:rsid w:val="22256941"/>
    <w:rsid w:val="22564FDD"/>
    <w:rsid w:val="23AC70A0"/>
    <w:rsid w:val="24AC5004"/>
    <w:rsid w:val="25A239BC"/>
    <w:rsid w:val="29CB7CE4"/>
    <w:rsid w:val="2C97652D"/>
    <w:rsid w:val="2DC230A1"/>
    <w:rsid w:val="2ED857C4"/>
    <w:rsid w:val="300265E5"/>
    <w:rsid w:val="3D797203"/>
    <w:rsid w:val="4DB82E23"/>
    <w:rsid w:val="4E48369F"/>
    <w:rsid w:val="4F8A37CB"/>
    <w:rsid w:val="53B17B00"/>
    <w:rsid w:val="54A7501B"/>
    <w:rsid w:val="575910B4"/>
    <w:rsid w:val="579004D8"/>
    <w:rsid w:val="58D13474"/>
    <w:rsid w:val="5A9A3838"/>
    <w:rsid w:val="62463175"/>
    <w:rsid w:val="65B941C5"/>
    <w:rsid w:val="685C7BC6"/>
    <w:rsid w:val="68DB269D"/>
    <w:rsid w:val="68F04575"/>
    <w:rsid w:val="690563BE"/>
    <w:rsid w:val="6B14478A"/>
    <w:rsid w:val="737F2F4A"/>
    <w:rsid w:val="73E136A3"/>
    <w:rsid w:val="73E62612"/>
    <w:rsid w:val="7ADC4E99"/>
    <w:rsid w:val="7C89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link w:val="7"/>
    <w:qFormat/>
    <w:uiPriority w:val="0"/>
    <w:pPr>
      <w:keepNext/>
      <w:spacing w:before="240" w:after="60"/>
      <w:jc w:val="center"/>
      <w:outlineLvl w:val="0"/>
    </w:pPr>
    <w:rPr>
      <w:rFonts w:eastAsia="方正小标宋简体" w:cs="宋体" w:asciiTheme="majorAscii" w:hAnsiTheme="majorAscii"/>
      <w:b/>
      <w:bCs/>
      <w:kern w:val="32"/>
      <w:sz w:val="44"/>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rPr>
      <w:rFonts w:cs="仿宋_GB2312"/>
      <w:szCs w:val="32"/>
    </w:rPr>
  </w:style>
  <w:style w:type="paragraph" w:styleId="3">
    <w:name w:val="Body Text Indent"/>
    <w:basedOn w:val="1"/>
    <w:qFormat/>
    <w:uiPriority w:val="0"/>
    <w:pPr>
      <w:spacing w:after="120" w:afterLines="0" w:afterAutospacing="0"/>
      <w:ind w:left="420" w:leftChars="200"/>
    </w:pPr>
  </w:style>
  <w:style w:type="character" w:customStyle="1" w:styleId="7">
    <w:name w:val="标题 1 Char"/>
    <w:basedOn w:val="6"/>
    <w:link w:val="4"/>
    <w:qFormat/>
    <w:uiPriority w:val="9"/>
    <w:rPr>
      <w:rFonts w:eastAsia="方正小标宋简体" w:cs="宋体" w:asciiTheme="majorAscii" w:hAnsiTheme="majorAscii"/>
      <w:b/>
      <w:bCs/>
      <w:kern w:val="32"/>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1516</Words>
  <Characters>1580</Characters>
  <Lines>0</Lines>
  <Paragraphs>0</Paragraphs>
  <TotalTime>6</TotalTime>
  <ScaleCrop>false</ScaleCrop>
  <LinksUpToDate>false</LinksUpToDate>
  <CharactersWithSpaces>1583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2025-10-29T09:32:00Z</dcterms:created>
  <dc:creator>吴惠敏</dc:creator>
  <cp:lastModifiedBy>aki</cp:lastModifiedBy>
  <dcterms:modified xsi:type="dcterms:W3CDTF">2025-10-30T01:29:20Z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D2F2E54772C1413A96C47D32CD5E1494_13</vt:lpwstr>
  </property>
  <property fmtid="{D5CDD505-2E9C-101B-9397-08002B2CF9AE}" pid="4" name="KSOTemplateDocerSaveRecord">
    <vt:lpwstr>eyJoZGlkIjoiY2MzZDIzZDIzYmQ3MWE5ZDQ2ZjU2MmJiOTE3ZTk5MTEiLCJ1c2VySWQiOiIxMTc5NzY1ODA5In0=</vt:lpwstr>
  </property>
</Properties>
</file>