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400" w:lineRule="exact"/>
        <w:rPr>
          <w:rFonts w:hint="default"/>
          <w:sz w:val="36"/>
          <w:szCs w:val="36"/>
          <w:lang w:val="en-US" w:eastAsia="zh-CN"/>
        </w:rPr>
      </w:pPr>
    </w:p>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“工程建设项目涉水‘一件事’”办事指南</w:t>
      </w:r>
    </w:p>
    <w:tbl>
      <w:tblPr>
        <w:tblStyle w:val="23"/>
        <w:tblW w:w="57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91"/>
        <w:gridCol w:w="670"/>
        <w:gridCol w:w="865"/>
        <w:gridCol w:w="2725"/>
        <w:gridCol w:w="422"/>
        <w:gridCol w:w="2623"/>
        <w:gridCol w:w="2058"/>
        <w:gridCol w:w="4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pct"/>
            <w:gridSpan w:val="2"/>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主题事项名称</w:t>
            </w:r>
          </w:p>
        </w:tc>
        <w:tc>
          <w:tcPr>
            <w:tcW w:w="1332" w:type="pct"/>
            <w:gridSpan w:val="3"/>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工程建设项目涉水</w:t>
            </w:r>
            <w:r>
              <w:rPr>
                <w:rFonts w:hint="eastAsia" w:ascii="仿宋_GB2312" w:hAnsi="仿宋_GB2312" w:cs="仿宋_GB2312"/>
                <w:sz w:val="18"/>
                <w:szCs w:val="18"/>
                <w:lang w:val="en-US" w:eastAsia="zh-CN"/>
              </w:rPr>
              <w:t>“</w:t>
            </w:r>
            <w:r>
              <w:rPr>
                <w:rFonts w:hint="eastAsia" w:ascii="仿宋_GB2312" w:hAnsi="仿宋_GB2312" w:eastAsia="仿宋_GB2312" w:cs="仿宋_GB2312"/>
                <w:sz w:val="18"/>
                <w:szCs w:val="18"/>
                <w:lang w:val="en-US" w:eastAsia="zh-CN"/>
              </w:rPr>
              <w:t>一件事</w:t>
            </w:r>
            <w:r>
              <w:rPr>
                <w:rFonts w:hint="eastAsia" w:ascii="仿宋_GB2312" w:hAnsi="仿宋_GB2312" w:cs="仿宋_GB2312"/>
                <w:sz w:val="18"/>
                <w:szCs w:val="18"/>
                <w:lang w:val="en-US" w:eastAsia="zh-CN"/>
              </w:rPr>
              <w:t>”</w:t>
            </w:r>
          </w:p>
        </w:tc>
        <w:tc>
          <w:tcPr>
            <w:tcW w:w="952" w:type="pct"/>
            <w:gridSpan w:val="2"/>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牵头部门</w:t>
            </w:r>
          </w:p>
        </w:tc>
        <w:tc>
          <w:tcPr>
            <w:tcW w:w="2108" w:type="pct"/>
            <w:gridSpan w:val="2"/>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XX区XXXX局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pct"/>
            <w:gridSpan w:val="2"/>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服务对象</w:t>
            </w:r>
          </w:p>
        </w:tc>
        <w:tc>
          <w:tcPr>
            <w:tcW w:w="1332" w:type="pct"/>
            <w:gridSpan w:val="3"/>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法人</w:t>
            </w:r>
          </w:p>
        </w:tc>
        <w:tc>
          <w:tcPr>
            <w:tcW w:w="952" w:type="pct"/>
            <w:gridSpan w:val="2"/>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通办范围</w:t>
            </w:r>
          </w:p>
        </w:tc>
        <w:tc>
          <w:tcPr>
            <w:tcW w:w="2108" w:type="pct"/>
            <w:gridSpan w:val="2"/>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06" w:type="pct"/>
            <w:gridSpan w:val="2"/>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法定办理时限</w:t>
            </w:r>
            <w:r>
              <w:rPr>
                <w:rFonts w:hint="eastAsia" w:ascii="黑体" w:hAnsi="黑体" w:eastAsia="黑体" w:cs="黑体"/>
                <w:sz w:val="18"/>
                <w:szCs w:val="18"/>
                <w:lang w:val="en-US" w:eastAsia="zh-CN"/>
              </w:rPr>
              <w:br w:type="textWrapping"/>
            </w:r>
            <w:r>
              <w:rPr>
                <w:rFonts w:hint="eastAsia" w:ascii="黑体" w:hAnsi="黑体" w:eastAsia="黑体" w:cs="黑体"/>
                <w:sz w:val="18"/>
                <w:szCs w:val="18"/>
                <w:lang w:val="en-US" w:eastAsia="zh-CN"/>
              </w:rPr>
              <w:t>（工作日）</w:t>
            </w:r>
          </w:p>
        </w:tc>
        <w:tc>
          <w:tcPr>
            <w:tcW w:w="1332" w:type="pct"/>
            <w:gridSpan w:val="3"/>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120</w:t>
            </w:r>
          </w:p>
        </w:tc>
        <w:tc>
          <w:tcPr>
            <w:tcW w:w="952" w:type="pct"/>
            <w:gridSpan w:val="2"/>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承诺办理时限</w:t>
            </w:r>
            <w:r>
              <w:rPr>
                <w:rFonts w:hint="eastAsia" w:ascii="黑体" w:hAnsi="黑体" w:eastAsia="黑体" w:cs="黑体"/>
                <w:sz w:val="18"/>
                <w:szCs w:val="18"/>
                <w:lang w:val="en-US" w:eastAsia="zh-CN"/>
              </w:rPr>
              <w:br w:type="textWrapping"/>
            </w:r>
            <w:r>
              <w:rPr>
                <w:rFonts w:hint="eastAsia" w:ascii="黑体" w:hAnsi="黑体" w:eastAsia="黑体" w:cs="黑体"/>
                <w:sz w:val="18"/>
                <w:szCs w:val="18"/>
                <w:lang w:val="en-US" w:eastAsia="zh-CN"/>
              </w:rPr>
              <w:t>（工作日）</w:t>
            </w:r>
          </w:p>
        </w:tc>
        <w:tc>
          <w:tcPr>
            <w:tcW w:w="2108" w:type="pct"/>
            <w:gridSpan w:val="2"/>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5（现场勘验、技术评审等特殊环节不计入承诺办理时限）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33"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序号</w:t>
            </w:r>
          </w:p>
        </w:tc>
        <w:tc>
          <w:tcPr>
            <w:tcW w:w="372" w:type="pct"/>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涉及的事项名称</w:t>
            </w:r>
          </w:p>
        </w:tc>
        <w:tc>
          <w:tcPr>
            <w:tcW w:w="209"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事项类型</w:t>
            </w:r>
          </w:p>
        </w:tc>
        <w:tc>
          <w:tcPr>
            <w:tcW w:w="270"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审批</w:t>
            </w:r>
          </w:p>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部门</w:t>
            </w:r>
          </w:p>
        </w:tc>
        <w:tc>
          <w:tcPr>
            <w:tcW w:w="1804" w:type="pct"/>
            <w:gridSpan w:val="3"/>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设立依据</w:t>
            </w:r>
          </w:p>
        </w:tc>
        <w:tc>
          <w:tcPr>
            <w:tcW w:w="2108" w:type="pct"/>
            <w:gridSpan w:val="2"/>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受理条件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1</w:t>
            </w:r>
          </w:p>
        </w:tc>
        <w:tc>
          <w:tcPr>
            <w:tcW w:w="372" w:type="pct"/>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生产建设项目水土保持方案审批（含水土保持方案报告书、水土保持方案报告表）</w:t>
            </w:r>
          </w:p>
        </w:tc>
        <w:tc>
          <w:tcPr>
            <w:tcW w:w="209" w:type="pct"/>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行政许可</w:t>
            </w:r>
          </w:p>
        </w:tc>
        <w:tc>
          <w:tcPr>
            <w:tcW w:w="270" w:type="pct"/>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区行政审批部门/区水行政主管部门</w:t>
            </w:r>
          </w:p>
        </w:tc>
        <w:tc>
          <w:tcPr>
            <w:tcW w:w="1804" w:type="pct"/>
            <w:gridSpan w:val="3"/>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cs="仿宋_GB2312"/>
                <w:sz w:val="18"/>
                <w:szCs w:val="18"/>
                <w:lang w:val="en-US" w:eastAsia="zh-CN"/>
              </w:rPr>
            </w:pPr>
            <w:r>
              <w:rPr>
                <w:rFonts w:hint="eastAsia" w:ascii="仿宋_GB2312" w:hAnsi="仿宋_GB2312" w:eastAsia="仿宋_GB2312" w:cs="仿宋_GB2312"/>
                <w:i w:val="0"/>
                <w:iCs w:val="0"/>
                <w:color w:val="auto"/>
                <w:kern w:val="0"/>
                <w:sz w:val="18"/>
                <w:szCs w:val="18"/>
                <w:u w:val="none"/>
                <w:lang w:val="en-US" w:eastAsia="zh-CN" w:bidi="ar"/>
              </w:rPr>
              <w:t>《中华人民共和国水土保持法》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第二十六条：依法应当编制水土保持方案的生产建设项目，生产建设单位未编制水土保持方案或者水土保持方案未经水行政主管部门批准的，生产建设项目不得开工建设。</w:t>
            </w:r>
          </w:p>
        </w:tc>
        <w:tc>
          <w:tcPr>
            <w:tcW w:w="2108" w:type="pct"/>
            <w:gridSpan w:val="2"/>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1.符合国家有关法律、法规、规章；</w:t>
            </w:r>
            <w:r>
              <w:rPr>
                <w:rFonts w:hint="eastAsia" w:ascii="仿宋_GB2312" w:hAnsi="仿宋_GB2312" w:cs="仿宋_GB2312"/>
                <w:sz w:val="18"/>
                <w:szCs w:val="18"/>
                <w:lang w:val="en-US" w:eastAsia="zh-CN"/>
              </w:rPr>
              <w:br w:type="textWrapping"/>
            </w:r>
            <w:r>
              <w:rPr>
                <w:rFonts w:hint="eastAsia" w:ascii="仿宋_GB2312" w:hAnsi="仿宋_GB2312" w:cs="仿宋_GB2312"/>
                <w:sz w:val="18"/>
                <w:szCs w:val="18"/>
                <w:lang w:val="en-US" w:eastAsia="zh-CN"/>
              </w:rPr>
              <w:t>2.提交资料齐全、真实、有效，并符合水土保持技术标准的要求；</w:t>
            </w:r>
            <w:r>
              <w:rPr>
                <w:rFonts w:hint="eastAsia" w:ascii="仿宋_GB2312" w:hAnsi="仿宋_GB2312" w:cs="仿宋_GB2312"/>
                <w:sz w:val="18"/>
                <w:szCs w:val="18"/>
                <w:lang w:val="en-US" w:eastAsia="zh-CN"/>
              </w:rPr>
              <w:br w:type="textWrapping"/>
            </w:r>
            <w:r>
              <w:rPr>
                <w:rFonts w:hint="eastAsia" w:ascii="仿宋_GB2312" w:hAnsi="仿宋_GB2312" w:cs="仿宋_GB2312"/>
                <w:sz w:val="18"/>
                <w:szCs w:val="18"/>
                <w:lang w:val="en-US" w:eastAsia="zh-CN"/>
              </w:rPr>
              <w:t xml:space="preserve">3.水土流失防治责任范围界定清楚、准确； </w:t>
            </w:r>
            <w:r>
              <w:rPr>
                <w:rFonts w:hint="eastAsia" w:ascii="仿宋_GB2312" w:hAnsi="仿宋_GB2312" w:cs="仿宋_GB2312"/>
                <w:sz w:val="18"/>
                <w:szCs w:val="18"/>
                <w:lang w:val="en-US" w:eastAsia="zh-CN"/>
              </w:rPr>
              <w:br w:type="textWrapping"/>
            </w:r>
            <w:r>
              <w:rPr>
                <w:rFonts w:hint="eastAsia" w:ascii="仿宋_GB2312" w:hAnsi="仿宋_GB2312" w:cs="仿宋_GB2312"/>
                <w:sz w:val="18"/>
                <w:szCs w:val="18"/>
                <w:lang w:val="en-US" w:eastAsia="zh-CN"/>
              </w:rPr>
              <w:t>4.水土流失防治措施合理、有效，与周边环境相协调，并达到主体工程设计深度；</w:t>
            </w:r>
            <w:r>
              <w:rPr>
                <w:rFonts w:hint="eastAsia" w:ascii="仿宋_GB2312" w:hAnsi="仿宋_GB2312" w:cs="仿宋_GB2312"/>
                <w:sz w:val="18"/>
                <w:szCs w:val="18"/>
                <w:lang w:val="en-US" w:eastAsia="zh-CN"/>
              </w:rPr>
              <w:br w:type="textWrapping"/>
            </w:r>
            <w:r>
              <w:rPr>
                <w:rFonts w:hint="eastAsia" w:ascii="仿宋_GB2312" w:hAnsi="仿宋_GB2312" w:cs="仿宋_GB2312"/>
                <w:sz w:val="18"/>
                <w:szCs w:val="18"/>
                <w:lang w:val="en-US" w:eastAsia="zh-CN"/>
              </w:rPr>
              <w:t>5.水土保持投资估算编制依据可靠、方法合理、结果正确；</w:t>
            </w:r>
            <w:r>
              <w:rPr>
                <w:rFonts w:hint="eastAsia" w:ascii="仿宋_GB2312" w:hAnsi="仿宋_GB2312" w:cs="仿宋_GB2312"/>
                <w:sz w:val="18"/>
                <w:szCs w:val="18"/>
                <w:lang w:val="en-US" w:eastAsia="zh-CN"/>
              </w:rPr>
              <w:br w:type="textWrapping"/>
            </w:r>
            <w:r>
              <w:rPr>
                <w:rFonts w:hint="eastAsia" w:ascii="仿宋_GB2312" w:hAnsi="仿宋_GB2312" w:cs="仿宋_GB2312"/>
                <w:sz w:val="18"/>
                <w:szCs w:val="18"/>
                <w:lang w:val="en-US" w:eastAsia="zh-CN"/>
              </w:rPr>
              <w:t>6.水土保持监测的内容和方法得当；</w:t>
            </w:r>
          </w:p>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7.报告书区级审批权限范围：区级立项（审批、核准、备案）的征占地面积在5公顷以上或者挖填土石方总量在5万立方米以上生产建设项目的水土保持方案；</w:t>
            </w:r>
          </w:p>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8.报告表区级审批权限范围：</w:t>
            </w:r>
            <w:r>
              <w:rPr>
                <w:rFonts w:hint="eastAsia" w:ascii="仿宋_GB2312" w:hAnsi="仿宋_GB2312" w:eastAsia="仿宋_GB2312" w:cs="仿宋_GB2312"/>
                <w:i w:val="0"/>
                <w:iCs w:val="0"/>
                <w:color w:val="auto"/>
                <w:kern w:val="0"/>
                <w:sz w:val="18"/>
                <w:szCs w:val="18"/>
                <w:u w:val="none"/>
                <w:lang w:val="en-US" w:eastAsia="zh-CN" w:bidi="ar"/>
              </w:rPr>
              <w:t>1.区级及以上立项（审批、核准、备案）征占地面积在5公顷以下且挖填土石方总量在5万立方米以下的生产建设项目水土保持方案</w:t>
            </w:r>
            <w:r>
              <w:rPr>
                <w:rFonts w:hint="eastAsia" w:ascii="仿宋_GB2312" w:hAnsi="仿宋_GB2312" w:cs="仿宋_GB2312"/>
                <w:sz w:val="18"/>
                <w:szCs w:val="18"/>
                <w:u w:val="none"/>
                <w:lang w:val="en-US" w:eastAsia="zh-CN"/>
              </w:rPr>
              <w:t>；</w:t>
            </w:r>
            <w:r>
              <w:rPr>
                <w:rFonts w:hint="eastAsia" w:ascii="仿宋_GB2312" w:hAnsi="仿宋_GB2312" w:cs="仿宋_GB2312"/>
                <w:sz w:val="18"/>
                <w:szCs w:val="18"/>
                <w:lang w:val="en-US" w:eastAsia="zh-CN"/>
              </w:rPr>
              <w:t>2.已实施水土保持区域评估范围内的生产建设项目；3.国务院和省级人民政府批准设立的各类开发区内的生产建设项目（弃渣场设置在开发区外的除外）。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233"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2</w:t>
            </w:r>
          </w:p>
        </w:tc>
        <w:tc>
          <w:tcPr>
            <w:tcW w:w="372" w:type="pct"/>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default" w:ascii="仿宋_GB2312" w:hAnsi="仿宋_GB2312" w:cs="仿宋_GB2312"/>
                <w:sz w:val="18"/>
                <w:szCs w:val="18"/>
                <w:lang w:val="en-US" w:eastAsia="zh-CN"/>
              </w:rPr>
            </w:pPr>
            <w:r>
              <w:rPr>
                <w:rFonts w:hint="eastAsia" w:ascii="仿宋_GB2312" w:hAnsi="仿宋_GB2312" w:cs="仿宋_GB2312"/>
                <w:sz w:val="18"/>
                <w:szCs w:val="18"/>
                <w:highlight w:val="none"/>
                <w:lang w:val="en-US" w:eastAsia="zh-CN"/>
              </w:rPr>
              <w:t>取水许可审批</w:t>
            </w:r>
          </w:p>
        </w:tc>
        <w:tc>
          <w:tcPr>
            <w:tcW w:w="209" w:type="pct"/>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行政许可</w:t>
            </w:r>
          </w:p>
        </w:tc>
        <w:tc>
          <w:tcPr>
            <w:tcW w:w="270" w:type="pct"/>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区行政审批部门/区水行政主管部门</w:t>
            </w:r>
          </w:p>
        </w:tc>
        <w:tc>
          <w:tcPr>
            <w:tcW w:w="1804" w:type="pct"/>
            <w:gridSpan w:val="3"/>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1.《中华人民共和国水法》（2016修正）第七条：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r>
              <w:rPr>
                <w:rFonts w:hint="eastAsia" w:ascii="仿宋_GB2312" w:hAnsi="仿宋_GB2312" w:cs="仿宋_GB2312"/>
                <w:sz w:val="18"/>
                <w:szCs w:val="18"/>
                <w:lang w:val="en-US" w:eastAsia="zh-CN"/>
              </w:rPr>
              <w:br w:type="textWrapping"/>
            </w:r>
            <w:r>
              <w:rPr>
                <w:rFonts w:hint="eastAsia" w:ascii="仿宋_GB2312" w:hAnsi="仿宋_GB2312" w:cs="仿宋_GB2312"/>
                <w:sz w:val="18"/>
                <w:szCs w:val="18"/>
                <w:lang w:val="en-US" w:eastAsia="zh-CN"/>
              </w:rPr>
              <w:t>2.《取水许可和水资源费征收管理条例》（2017修订）第三条：县级以上人民政府水行政主管部门按照分级管理权限，负责取水许可制度的组织实施和监督管理。</w:t>
            </w:r>
          </w:p>
        </w:tc>
        <w:tc>
          <w:tcPr>
            <w:tcW w:w="2108" w:type="pct"/>
            <w:gridSpan w:val="2"/>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1.提交资料齐全、真实、有效；</w:t>
            </w:r>
            <w:r>
              <w:rPr>
                <w:rFonts w:hint="eastAsia" w:ascii="仿宋_GB2312" w:hAnsi="仿宋_GB2312" w:cs="仿宋_GB2312"/>
                <w:sz w:val="18"/>
                <w:szCs w:val="18"/>
                <w:lang w:val="en-US" w:eastAsia="zh-CN"/>
              </w:rPr>
              <w:br w:type="textWrapping"/>
            </w:r>
            <w:r>
              <w:rPr>
                <w:rFonts w:hint="eastAsia" w:ascii="仿宋_GB2312" w:hAnsi="仿宋_GB2312" w:cs="仿宋_GB2312"/>
                <w:sz w:val="18"/>
                <w:szCs w:val="18"/>
                <w:lang w:val="en-US" w:eastAsia="zh-CN"/>
              </w:rPr>
              <w:t>2.必须符合江河流域的综合规划、水中长期供求规划、水资源的配置以及国家产业政策，遵从经批准的水量分配方案或者协议；</w:t>
            </w:r>
            <w:r>
              <w:rPr>
                <w:rFonts w:hint="eastAsia" w:ascii="仿宋_GB2312" w:hAnsi="仿宋_GB2312" w:cs="仿宋_GB2312"/>
                <w:sz w:val="18"/>
                <w:szCs w:val="18"/>
                <w:lang w:val="en-US" w:eastAsia="zh-CN"/>
              </w:rPr>
              <w:br w:type="textWrapping"/>
            </w:r>
            <w:r>
              <w:rPr>
                <w:rFonts w:hint="eastAsia" w:ascii="仿宋_GB2312" w:hAnsi="仿宋_GB2312" w:cs="仿宋_GB2312"/>
                <w:sz w:val="18"/>
                <w:szCs w:val="18"/>
                <w:lang w:val="en-US" w:eastAsia="zh-CN"/>
              </w:rPr>
              <w:t>3.建设项目应当编制节水方案，配套建设节水设施；</w:t>
            </w:r>
            <w:r>
              <w:rPr>
                <w:rFonts w:hint="eastAsia" w:ascii="仿宋_GB2312" w:hAnsi="仿宋_GB2312" w:cs="仿宋_GB2312"/>
                <w:sz w:val="18"/>
                <w:szCs w:val="18"/>
                <w:lang w:val="en-US" w:eastAsia="zh-CN"/>
              </w:rPr>
              <w:br w:type="textWrapping"/>
            </w:r>
            <w:r>
              <w:rPr>
                <w:rFonts w:hint="eastAsia" w:ascii="仿宋_GB2312" w:hAnsi="仿宋_GB2312" w:cs="仿宋_GB2312"/>
                <w:sz w:val="18"/>
                <w:szCs w:val="18"/>
                <w:lang w:val="en-US" w:eastAsia="zh-CN"/>
              </w:rPr>
              <w:t>4.建设项目的退水必须达标排放，同时必须符合达到规定水质目标和水域纳污总量控制要求；</w:t>
            </w:r>
            <w:r>
              <w:rPr>
                <w:rFonts w:hint="eastAsia" w:ascii="仿宋_GB2312" w:hAnsi="仿宋_GB2312" w:cs="仿宋_GB2312"/>
                <w:sz w:val="18"/>
                <w:szCs w:val="18"/>
                <w:lang w:val="en-US" w:eastAsia="zh-CN"/>
              </w:rPr>
              <w:br w:type="textWrapping"/>
            </w:r>
            <w:r>
              <w:rPr>
                <w:rFonts w:hint="eastAsia" w:ascii="仿宋_GB2312" w:hAnsi="仿宋_GB2312" w:cs="仿宋_GB2312"/>
                <w:sz w:val="18"/>
                <w:szCs w:val="18"/>
                <w:lang w:val="en-US" w:eastAsia="zh-CN"/>
              </w:rPr>
              <w:t xml:space="preserve">5.地下水的取水不得超过本行政区域地下水年度计划和区域可采总量，符合井点总体布局和取水层位的要求（地下水禁止开采区内禁止开凿深井，限制开采区内不得新增深井数量，其他地区开采地下水实行总量控制）； </w:t>
            </w:r>
            <w:r>
              <w:rPr>
                <w:rFonts w:hint="eastAsia" w:ascii="仿宋_GB2312" w:hAnsi="仿宋_GB2312" w:cs="仿宋_GB2312"/>
                <w:sz w:val="18"/>
                <w:szCs w:val="18"/>
                <w:lang w:val="en-US" w:eastAsia="zh-CN"/>
              </w:rPr>
              <w:br w:type="textWrapping"/>
            </w:r>
            <w:r>
              <w:rPr>
                <w:rFonts w:hint="eastAsia" w:ascii="仿宋_GB2312" w:hAnsi="仿宋_GB2312" w:cs="仿宋_GB2312"/>
                <w:sz w:val="18"/>
                <w:szCs w:val="18"/>
                <w:lang w:val="en-US" w:eastAsia="zh-CN"/>
              </w:rPr>
              <w:t>6.不得损害上下游、左右岸以及第三者的利益；</w:t>
            </w:r>
            <w:r>
              <w:rPr>
                <w:rFonts w:hint="eastAsia" w:ascii="仿宋_GB2312" w:hAnsi="仿宋_GB2312" w:cs="仿宋_GB2312"/>
                <w:sz w:val="18"/>
                <w:szCs w:val="18"/>
                <w:lang w:val="en-US" w:eastAsia="zh-CN"/>
              </w:rPr>
              <w:br w:type="textWrapping"/>
            </w:r>
            <w:r>
              <w:rPr>
                <w:rFonts w:hint="eastAsia" w:ascii="仿宋_GB2312" w:hAnsi="仿宋_GB2312" w:cs="仿宋_GB2312"/>
                <w:sz w:val="18"/>
                <w:szCs w:val="18"/>
                <w:lang w:val="en-US" w:eastAsia="zh-CN"/>
              </w:rPr>
              <w:t>7.属区级审批权限范围。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23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3</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 xml:space="preserve">城镇污水排入排水管网许可证核发（施工期排水） </w:t>
            </w:r>
          </w:p>
        </w:tc>
        <w:tc>
          <w:tcPr>
            <w:tcW w:w="2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行政许可</w:t>
            </w: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区行政审批部门/区水行政主管部门</w:t>
            </w:r>
          </w:p>
        </w:tc>
        <w:tc>
          <w:tcPr>
            <w:tcW w:w="1804" w:type="pct"/>
            <w:gridSpan w:val="3"/>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城镇排水与污水处理条例》（国务院令第641号）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2.《城镇污水排入排水管网许可管理办法》（住建部令第21号,第56号修正）第四条</w:t>
            </w:r>
            <w:r>
              <w:rPr>
                <w:rFonts w:hint="eastAsia" w:ascii="仿宋_GB2312" w:hAnsi="仿宋_GB2312" w:cs="仿宋_GB2312"/>
                <w:i w:val="0"/>
                <w:iCs w:val="0"/>
                <w:color w:val="auto"/>
                <w:kern w:val="0"/>
                <w:sz w:val="18"/>
                <w:szCs w:val="18"/>
                <w:u w:val="none"/>
                <w:lang w:val="en-US" w:eastAsia="zh-CN" w:bidi="ar"/>
              </w:rPr>
              <w:t>：</w:t>
            </w:r>
            <w:r>
              <w:rPr>
                <w:rFonts w:hint="eastAsia" w:ascii="仿宋_GB2312" w:hAnsi="仿宋_GB2312" w:eastAsia="仿宋_GB2312" w:cs="仿宋_GB2312"/>
                <w:i w:val="0"/>
                <w:iCs w:val="0"/>
                <w:color w:val="auto"/>
                <w:kern w:val="0"/>
                <w:sz w:val="18"/>
                <w:szCs w:val="18"/>
                <w:u w:val="none"/>
                <w:lang w:val="en-US" w:eastAsia="zh-CN" w:bidi="ar"/>
              </w:rPr>
              <w:t>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在雨水、污水分流排放的地区，不得将污水排入雨水管网。工程建设疏干排水应当优先利用和补给水体。</w:t>
            </w:r>
          </w:p>
        </w:tc>
        <w:tc>
          <w:tcPr>
            <w:tcW w:w="2108"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1.污水排放口的设置符合城镇排水与污水处理规划的要求；</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2.排放污水的水质符合国家或者地方的污水排入城镇下水道水质标准等有关标准；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3.按照国家有关规定建设相应的预处理设施；</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4.按照国家有关规定在排放口设置便于采样和水量计量的专用检测井和计量设备；列入重点排污单位名录的排水户已安装主要水污染物排放自动监测设备；</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5.法律、法规规定的其他条件。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33"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4</w:t>
            </w:r>
          </w:p>
        </w:tc>
        <w:tc>
          <w:tcPr>
            <w:tcW w:w="372" w:type="pct"/>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河道（湖泊、水库）管理范围内建设项目工程建设方案审批</w:t>
            </w:r>
          </w:p>
        </w:tc>
        <w:tc>
          <w:tcPr>
            <w:tcW w:w="209" w:type="pct"/>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行政许可</w:t>
            </w:r>
          </w:p>
        </w:tc>
        <w:tc>
          <w:tcPr>
            <w:tcW w:w="270" w:type="pct"/>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区行政审批部门/区水行政主管部门</w:t>
            </w:r>
          </w:p>
        </w:tc>
        <w:tc>
          <w:tcPr>
            <w:tcW w:w="1804" w:type="pct"/>
            <w:gridSpan w:val="3"/>
            <w:tcBorders>
              <w:tl2br w:val="nil"/>
              <w:tr2bl w:val="nil"/>
            </w:tcBorders>
            <w:noWrap w:val="0"/>
            <w:vAlign w:val="center"/>
          </w:tcPr>
          <w:p>
            <w:pPr>
              <w:keepNext w:val="0"/>
              <w:keepLines w:val="0"/>
              <w:pageBreakBefore w:val="0"/>
              <w:widowControl w:val="0"/>
              <w:numPr>
                <w:ilvl w:val="-1"/>
                <w:numId w:val="0"/>
              </w:numPr>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cs="仿宋_GB2312"/>
                <w:sz w:val="18"/>
                <w:szCs w:val="18"/>
                <w:highlight w:val="none"/>
                <w:lang w:val="en-US" w:eastAsia="zh-CN"/>
              </w:rPr>
            </w:pPr>
            <w:r>
              <w:rPr>
                <w:rFonts w:hint="eastAsia" w:ascii="仿宋_GB2312" w:hAnsi="仿宋_GB2312" w:cs="仿宋_GB2312"/>
                <w:sz w:val="18"/>
                <w:szCs w:val="18"/>
                <w:highlight w:val="none"/>
                <w:lang w:val="en-US" w:eastAsia="zh-CN"/>
              </w:rPr>
              <w:t>1.《中华人民共和国防洪法》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pPr>
              <w:keepNext w:val="0"/>
              <w:keepLines w:val="0"/>
              <w:pageBreakBefore w:val="0"/>
              <w:widowControl w:val="0"/>
              <w:numPr>
                <w:ilvl w:val="-1"/>
                <w:numId w:val="0"/>
              </w:numPr>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highlight w:val="none"/>
                <w:lang w:val="en-US" w:eastAsia="zh-CN"/>
              </w:rPr>
              <w:t>2.《中华人民共和国河道管理条例》第十一条：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w:t>
            </w:r>
          </w:p>
        </w:tc>
        <w:tc>
          <w:tcPr>
            <w:tcW w:w="2108" w:type="pct"/>
            <w:gridSpan w:val="2"/>
            <w:tcBorders>
              <w:tl2br w:val="nil"/>
              <w:tr2bl w:val="nil"/>
            </w:tcBorders>
            <w:noWrap w:val="0"/>
            <w:vAlign w:val="center"/>
          </w:tcPr>
          <w:p>
            <w:pPr>
              <w:keepNext w:val="0"/>
              <w:keepLines w:val="0"/>
              <w:pageBreakBefore w:val="0"/>
              <w:widowControl w:val="0"/>
              <w:numPr>
                <w:ilvl w:val="-1"/>
                <w:numId w:val="0"/>
              </w:numPr>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1.符合江河流域综合规划和有关的国土、行业、港口岸线及区域发展规划，对规划实施无明显不利影响;</w:t>
            </w:r>
          </w:p>
          <w:p>
            <w:pPr>
              <w:keepNext w:val="0"/>
              <w:keepLines w:val="0"/>
              <w:pageBreakBefore w:val="0"/>
              <w:widowControl w:val="0"/>
              <w:numPr>
                <w:ilvl w:val="-1"/>
                <w:numId w:val="0"/>
              </w:numPr>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2.符合项目所在地防洪标准和有关河道管理规范、水利行业设计规范等技术要求;</w:t>
            </w:r>
          </w:p>
          <w:p>
            <w:pPr>
              <w:keepNext w:val="0"/>
              <w:keepLines w:val="0"/>
              <w:pageBreakBefore w:val="0"/>
              <w:widowControl w:val="0"/>
              <w:numPr>
                <w:ilvl w:val="-1"/>
                <w:numId w:val="0"/>
              </w:numPr>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3.对河势稳定、水流形态、水质、冲淤变化无明显不利影响或采取补救措施后无不利影响;</w:t>
            </w:r>
          </w:p>
          <w:p>
            <w:pPr>
              <w:keepNext w:val="0"/>
              <w:keepLines w:val="0"/>
              <w:pageBreakBefore w:val="0"/>
              <w:widowControl w:val="0"/>
              <w:numPr>
                <w:ilvl w:val="-1"/>
                <w:numId w:val="0"/>
              </w:numPr>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4.不妨碍行洪，不降低河道泄洪能力;</w:t>
            </w:r>
          </w:p>
          <w:p>
            <w:pPr>
              <w:keepNext w:val="0"/>
              <w:keepLines w:val="0"/>
              <w:pageBreakBefore w:val="0"/>
              <w:widowControl w:val="0"/>
              <w:numPr>
                <w:ilvl w:val="-1"/>
                <w:numId w:val="0"/>
              </w:numPr>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5.对堤防、护岸和其它水工程、水环境、水资源的安全无明显不利影响;</w:t>
            </w:r>
          </w:p>
          <w:p>
            <w:pPr>
              <w:keepNext w:val="0"/>
              <w:keepLines w:val="0"/>
              <w:pageBreakBefore w:val="0"/>
              <w:widowControl w:val="0"/>
              <w:numPr>
                <w:ilvl w:val="-1"/>
                <w:numId w:val="0"/>
              </w:numPr>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6.不得妨碍防汛抢险;</w:t>
            </w:r>
          </w:p>
          <w:p>
            <w:pPr>
              <w:keepNext w:val="0"/>
              <w:keepLines w:val="0"/>
              <w:pageBreakBefore w:val="0"/>
              <w:widowControl w:val="0"/>
              <w:numPr>
                <w:ilvl w:val="-1"/>
                <w:numId w:val="0"/>
              </w:numPr>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7.建设项目防御洪涝的设防标准与措施适当;</w:t>
            </w:r>
          </w:p>
          <w:p>
            <w:pPr>
              <w:keepNext w:val="0"/>
              <w:keepLines w:val="0"/>
              <w:pageBreakBefore w:val="0"/>
              <w:widowControl w:val="0"/>
              <w:numPr>
                <w:ilvl w:val="-1"/>
                <w:numId w:val="0"/>
              </w:numPr>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8.不影响第三人合法的水事权益。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233"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5</w:t>
            </w:r>
          </w:p>
        </w:tc>
        <w:tc>
          <w:tcPr>
            <w:tcW w:w="372" w:type="pct"/>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拆除、改动城镇排水与污水处理设施审核</w:t>
            </w:r>
          </w:p>
        </w:tc>
        <w:tc>
          <w:tcPr>
            <w:tcW w:w="209" w:type="pct"/>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行政许可</w:t>
            </w:r>
          </w:p>
        </w:tc>
        <w:tc>
          <w:tcPr>
            <w:tcW w:w="270" w:type="pct"/>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区行政审批部门/区水行政主管部门</w:t>
            </w:r>
          </w:p>
        </w:tc>
        <w:tc>
          <w:tcPr>
            <w:tcW w:w="1804" w:type="pct"/>
            <w:gridSpan w:val="3"/>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城镇排水与污水处理条例》（国务院令第641号）第四十三条第四款：因工程建设需要拆除、改动城镇排水与污水处理设施的，建设单位应当制定拆除、改动方案，报城镇排水主管部门审核，并承担重建、改建和采取临时措施的费用。</w:t>
            </w:r>
          </w:p>
        </w:tc>
        <w:tc>
          <w:tcPr>
            <w:tcW w:w="2108" w:type="pct"/>
            <w:gridSpan w:val="2"/>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1.符合法律、法规、规章和规范性文件要求；</w:t>
            </w:r>
          </w:p>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2.符合城市排水规划、技术规范以及对周边管线保护要求；</w:t>
            </w:r>
          </w:p>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3.对周边环境的影响有合理的处理措施。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233"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kern w:val="2"/>
                <w:sz w:val="18"/>
                <w:szCs w:val="18"/>
                <w:lang w:val="en-US" w:eastAsia="zh-CN" w:bidi="ar-SA"/>
              </w:rPr>
            </w:pPr>
            <w:r>
              <w:rPr>
                <w:rFonts w:hint="eastAsia" w:ascii="仿宋_GB2312" w:hAnsi="仿宋_GB2312" w:cs="仿宋_GB2312"/>
                <w:sz w:val="18"/>
                <w:szCs w:val="18"/>
                <w:lang w:val="en-US" w:eastAsia="zh-CN"/>
              </w:rPr>
              <w:t>6</w:t>
            </w:r>
          </w:p>
        </w:tc>
        <w:tc>
          <w:tcPr>
            <w:tcW w:w="372" w:type="pct"/>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kern w:val="2"/>
                <w:sz w:val="18"/>
                <w:szCs w:val="18"/>
                <w:lang w:val="en-US" w:eastAsia="zh-CN" w:bidi="ar-SA"/>
              </w:rPr>
            </w:pPr>
            <w:r>
              <w:rPr>
                <w:rFonts w:hint="eastAsia" w:ascii="仿宋_GB2312" w:hAnsi="仿宋_GB2312" w:cs="仿宋_GB2312"/>
                <w:sz w:val="18"/>
                <w:szCs w:val="18"/>
                <w:lang w:val="en-US" w:eastAsia="zh-CN"/>
              </w:rPr>
              <w:t>占用农业灌溉水源、灌排工程设施审批</w:t>
            </w:r>
          </w:p>
        </w:tc>
        <w:tc>
          <w:tcPr>
            <w:tcW w:w="209" w:type="pct"/>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kern w:val="2"/>
                <w:sz w:val="18"/>
                <w:szCs w:val="18"/>
                <w:lang w:val="en-US" w:eastAsia="zh-CN" w:bidi="ar-SA"/>
              </w:rPr>
            </w:pPr>
            <w:r>
              <w:rPr>
                <w:rFonts w:hint="eastAsia" w:ascii="仿宋_GB2312" w:hAnsi="仿宋_GB2312" w:cs="仿宋_GB2312"/>
                <w:sz w:val="18"/>
                <w:szCs w:val="18"/>
                <w:lang w:val="en-US" w:eastAsia="zh-CN"/>
              </w:rPr>
              <w:t>行政许可</w:t>
            </w:r>
          </w:p>
        </w:tc>
        <w:tc>
          <w:tcPr>
            <w:tcW w:w="270" w:type="pct"/>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kern w:val="2"/>
                <w:sz w:val="18"/>
                <w:szCs w:val="18"/>
                <w:lang w:val="en-US" w:eastAsia="zh-CN" w:bidi="ar-SA"/>
              </w:rPr>
            </w:pPr>
            <w:r>
              <w:rPr>
                <w:rFonts w:hint="eastAsia" w:ascii="仿宋_GB2312" w:hAnsi="仿宋_GB2312" w:cs="仿宋_GB2312"/>
                <w:sz w:val="18"/>
                <w:szCs w:val="18"/>
                <w:lang w:val="en-US" w:eastAsia="zh-CN"/>
              </w:rPr>
              <w:t>区行政审批部门/区水行政主管部门</w:t>
            </w:r>
          </w:p>
        </w:tc>
        <w:tc>
          <w:tcPr>
            <w:tcW w:w="1804" w:type="pct"/>
            <w:gridSpan w:val="3"/>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eastAsia="仿宋_GB2312" w:cs="仿宋_GB2312"/>
                <w:kern w:val="2"/>
                <w:sz w:val="18"/>
                <w:szCs w:val="18"/>
                <w:lang w:val="en-US" w:eastAsia="zh-CN" w:bidi="ar-SA"/>
              </w:rPr>
            </w:pPr>
            <w:r>
              <w:rPr>
                <w:rFonts w:hint="eastAsia" w:ascii="仿宋_GB2312" w:hAnsi="仿宋_GB2312" w:cs="仿宋_GB2312"/>
                <w:sz w:val="18"/>
                <w:szCs w:val="18"/>
                <w:lang w:val="en-US" w:eastAsia="zh-CN"/>
              </w:rPr>
              <w:t>《农田水利条例》（国务院令第669号）第二十四条：新建、改建、扩建建设工程确需占用农业灌溉水源、农田水利工程设施的，应当与取用水的单位、个人或者农田水利工程所有权人协商，并经有管辖权的县级以上地方人民政府水行政主管部门同意。</w:t>
            </w:r>
          </w:p>
        </w:tc>
        <w:tc>
          <w:tcPr>
            <w:tcW w:w="2108"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仿宋_GB2312" w:eastAsia="仿宋_GB2312" w:cs="仿宋_GB2312"/>
                <w:i w:val="0"/>
                <w:iCs w:val="0"/>
                <w:color w:val="auto"/>
                <w:sz w:val="18"/>
                <w:szCs w:val="18"/>
                <w:u w:val="none"/>
                <w:lang w:val="en-US" w:eastAsia="zh-CN"/>
              </w:rPr>
            </w:pPr>
            <w:r>
              <w:rPr>
                <w:rFonts w:hint="default" w:ascii="仿宋_GB2312" w:hAnsi="仿宋_GB2312" w:eastAsia="仿宋_GB2312" w:cs="仿宋_GB2312"/>
                <w:i w:val="0"/>
                <w:iCs w:val="0"/>
                <w:color w:val="auto"/>
                <w:sz w:val="18"/>
                <w:szCs w:val="18"/>
                <w:u w:val="none"/>
                <w:lang w:val="en-US" w:eastAsia="zh-CN"/>
              </w:rPr>
              <w:t>1</w:t>
            </w:r>
            <w:r>
              <w:rPr>
                <w:rFonts w:hint="eastAsia" w:ascii="仿宋_GB2312" w:hAnsi="仿宋_GB2312" w:cs="仿宋_GB2312"/>
                <w:i w:val="0"/>
                <w:iCs w:val="0"/>
                <w:color w:val="auto"/>
                <w:sz w:val="18"/>
                <w:szCs w:val="18"/>
                <w:u w:val="none"/>
                <w:lang w:val="en-US" w:eastAsia="zh-CN"/>
              </w:rPr>
              <w:t>.</w:t>
            </w:r>
            <w:r>
              <w:rPr>
                <w:rFonts w:hint="default" w:ascii="仿宋_GB2312" w:hAnsi="仿宋_GB2312" w:eastAsia="仿宋_GB2312" w:cs="仿宋_GB2312"/>
                <w:i w:val="0"/>
                <w:iCs w:val="0"/>
                <w:color w:val="auto"/>
                <w:sz w:val="18"/>
                <w:szCs w:val="18"/>
                <w:u w:val="none"/>
                <w:lang w:val="en-US" w:eastAsia="zh-CN"/>
              </w:rPr>
              <w:t>占用农业灌溉水源、灌排工程设施确有需要且无法规避</w:t>
            </w:r>
            <w:r>
              <w:rPr>
                <w:rFonts w:hint="eastAsia" w:ascii="仿宋_GB2312" w:hAnsi="仿宋_GB2312" w:cs="仿宋_GB2312"/>
                <w:i w:val="0"/>
                <w:iCs w:val="0"/>
                <w:color w:val="auto"/>
                <w:sz w:val="18"/>
                <w:szCs w:val="1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仿宋_GB2312" w:eastAsia="仿宋_GB2312" w:cs="仿宋_GB2312"/>
                <w:i w:val="0"/>
                <w:iCs w:val="0"/>
                <w:color w:val="auto"/>
                <w:sz w:val="18"/>
                <w:szCs w:val="18"/>
                <w:u w:val="none"/>
                <w:lang w:val="en-US" w:eastAsia="zh-CN"/>
              </w:rPr>
            </w:pPr>
            <w:r>
              <w:rPr>
                <w:rFonts w:hint="default" w:ascii="仿宋_GB2312" w:hAnsi="仿宋_GB2312" w:eastAsia="仿宋_GB2312" w:cs="仿宋_GB2312"/>
                <w:i w:val="0"/>
                <w:iCs w:val="0"/>
                <w:color w:val="auto"/>
                <w:sz w:val="18"/>
                <w:szCs w:val="18"/>
                <w:u w:val="none"/>
                <w:lang w:val="en-US" w:eastAsia="zh-CN"/>
              </w:rPr>
              <w:t>2</w:t>
            </w:r>
            <w:r>
              <w:rPr>
                <w:rFonts w:hint="eastAsia" w:ascii="仿宋_GB2312" w:hAnsi="仿宋_GB2312" w:cs="仿宋_GB2312"/>
                <w:i w:val="0"/>
                <w:iCs w:val="0"/>
                <w:color w:val="auto"/>
                <w:sz w:val="18"/>
                <w:szCs w:val="18"/>
                <w:u w:val="none"/>
                <w:lang w:val="en-US" w:eastAsia="zh-CN"/>
              </w:rPr>
              <w:t>.</w:t>
            </w:r>
            <w:r>
              <w:rPr>
                <w:rFonts w:hint="default" w:ascii="仿宋_GB2312" w:hAnsi="仿宋_GB2312" w:eastAsia="仿宋_GB2312" w:cs="仿宋_GB2312"/>
                <w:i w:val="0"/>
                <w:iCs w:val="0"/>
                <w:color w:val="auto"/>
                <w:sz w:val="18"/>
                <w:szCs w:val="18"/>
                <w:u w:val="none"/>
                <w:lang w:val="en-US" w:eastAsia="zh-CN"/>
              </w:rPr>
              <w:t>相关工程审批程序完备</w:t>
            </w:r>
            <w:r>
              <w:rPr>
                <w:rFonts w:hint="eastAsia" w:ascii="仿宋_GB2312" w:hAnsi="仿宋_GB2312" w:cs="仿宋_GB2312"/>
                <w:i w:val="0"/>
                <w:iCs w:val="0"/>
                <w:color w:val="auto"/>
                <w:sz w:val="18"/>
                <w:szCs w:val="1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仿宋_GB2312" w:eastAsia="仿宋_GB2312" w:cs="仿宋_GB2312"/>
                <w:i w:val="0"/>
                <w:iCs w:val="0"/>
                <w:color w:val="auto"/>
                <w:sz w:val="18"/>
                <w:szCs w:val="18"/>
                <w:u w:val="none"/>
                <w:lang w:val="en-US" w:eastAsia="zh-CN"/>
              </w:rPr>
            </w:pPr>
            <w:r>
              <w:rPr>
                <w:rFonts w:hint="default" w:ascii="仿宋_GB2312" w:hAnsi="仿宋_GB2312" w:eastAsia="仿宋_GB2312" w:cs="仿宋_GB2312"/>
                <w:i w:val="0"/>
                <w:iCs w:val="0"/>
                <w:color w:val="auto"/>
                <w:sz w:val="18"/>
                <w:szCs w:val="18"/>
                <w:u w:val="none"/>
                <w:lang w:val="en-US" w:eastAsia="zh-CN"/>
              </w:rPr>
              <w:t>3</w:t>
            </w:r>
            <w:r>
              <w:rPr>
                <w:rFonts w:hint="eastAsia" w:ascii="仿宋_GB2312" w:hAnsi="仿宋_GB2312" w:cs="仿宋_GB2312"/>
                <w:i w:val="0"/>
                <w:iCs w:val="0"/>
                <w:color w:val="auto"/>
                <w:sz w:val="18"/>
                <w:szCs w:val="18"/>
                <w:u w:val="none"/>
                <w:lang w:val="en-US" w:eastAsia="zh-CN"/>
              </w:rPr>
              <w:t>.</w:t>
            </w:r>
            <w:r>
              <w:rPr>
                <w:rFonts w:hint="default" w:ascii="仿宋_GB2312" w:hAnsi="仿宋_GB2312" w:eastAsia="仿宋_GB2312" w:cs="仿宋_GB2312"/>
                <w:i w:val="0"/>
                <w:iCs w:val="0"/>
                <w:color w:val="auto"/>
                <w:sz w:val="18"/>
                <w:szCs w:val="18"/>
                <w:u w:val="none"/>
                <w:lang w:val="en-US" w:eastAsia="zh-CN"/>
              </w:rPr>
              <w:t>补偿协议经利益相关方签订达成一致意见，且不影响第三人合法权益</w:t>
            </w:r>
            <w:r>
              <w:rPr>
                <w:rFonts w:hint="eastAsia" w:ascii="仿宋_GB2312" w:hAnsi="仿宋_GB2312" w:cs="仿宋_GB2312"/>
                <w:i w:val="0"/>
                <w:iCs w:val="0"/>
                <w:color w:val="auto"/>
                <w:sz w:val="18"/>
                <w:szCs w:val="18"/>
                <w:u w:val="none"/>
                <w:lang w:val="en-US" w:eastAsia="zh-CN"/>
              </w:rPr>
              <w:t>；</w:t>
            </w:r>
          </w:p>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eastAsia="仿宋_GB2312" w:cs="仿宋_GB2312"/>
                <w:kern w:val="2"/>
                <w:sz w:val="18"/>
                <w:szCs w:val="18"/>
                <w:lang w:val="en-US" w:eastAsia="zh-CN" w:bidi="ar-SA"/>
              </w:rPr>
            </w:pPr>
            <w:r>
              <w:rPr>
                <w:rFonts w:hint="default" w:ascii="仿宋_GB2312" w:hAnsi="仿宋_GB2312" w:eastAsia="仿宋_GB2312" w:cs="仿宋_GB2312"/>
                <w:i w:val="0"/>
                <w:iCs w:val="0"/>
                <w:color w:val="auto"/>
                <w:sz w:val="18"/>
                <w:szCs w:val="18"/>
                <w:u w:val="none"/>
                <w:lang w:val="en-US" w:eastAsia="zh-CN"/>
              </w:rPr>
              <w:t>4</w:t>
            </w:r>
            <w:r>
              <w:rPr>
                <w:rFonts w:hint="eastAsia" w:ascii="仿宋_GB2312" w:hAnsi="仿宋_GB2312" w:cs="仿宋_GB2312"/>
                <w:i w:val="0"/>
                <w:iCs w:val="0"/>
                <w:color w:val="auto"/>
                <w:sz w:val="18"/>
                <w:szCs w:val="18"/>
                <w:u w:val="none"/>
                <w:lang w:val="en-US" w:eastAsia="zh-CN"/>
              </w:rPr>
              <w:t>.</w:t>
            </w:r>
            <w:r>
              <w:rPr>
                <w:rFonts w:hint="default" w:ascii="仿宋_GB2312" w:hAnsi="仿宋_GB2312" w:eastAsia="仿宋_GB2312" w:cs="仿宋_GB2312"/>
                <w:i w:val="0"/>
                <w:iCs w:val="0"/>
                <w:color w:val="auto"/>
                <w:sz w:val="18"/>
                <w:szCs w:val="18"/>
                <w:u w:val="none"/>
                <w:lang w:val="en-US" w:eastAsia="zh-CN"/>
              </w:rPr>
              <w:t>替代工程技术可行，与被占用农业灌溉水源工程、灌排工程设施效益相当。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3" w:type="pct"/>
            <w:vMerge w:val="restar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4766" w:type="pct"/>
            <w:gridSpan w:val="8"/>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一、需申请人提供的材料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4766" w:type="pct"/>
            <w:gridSpan w:val="8"/>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（一）共性材料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372"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1</w:t>
            </w:r>
          </w:p>
        </w:tc>
        <w:tc>
          <w:tcPr>
            <w:tcW w:w="4393" w:type="pct"/>
            <w:gridSpan w:val="7"/>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“工程建设项目涉水‘一件事’”申请表（原件一式一份、拟留件）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372"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2</w:t>
            </w:r>
          </w:p>
        </w:tc>
        <w:tc>
          <w:tcPr>
            <w:tcW w:w="4393" w:type="pct"/>
            <w:gridSpan w:val="7"/>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授权委托书（如委托办理，则需提供，原件一式一份，拟留件）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372"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3</w:t>
            </w:r>
          </w:p>
        </w:tc>
        <w:tc>
          <w:tcPr>
            <w:tcW w:w="4393" w:type="pct"/>
            <w:gridSpan w:val="7"/>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涉及影响与第三方利害关系的，申请人需要提交与第三方的协商意见或第三方承诺意见书（原件一式一份、拟留件）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4766" w:type="pct"/>
            <w:gridSpan w:val="8"/>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（二）办理生产建设项目水土保持方案审批的申请材料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372"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4</w:t>
            </w:r>
          </w:p>
        </w:tc>
        <w:tc>
          <w:tcPr>
            <w:tcW w:w="4393" w:type="pct"/>
            <w:gridSpan w:val="7"/>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水土保持方案报告书(或报告表)或综合评价报告书中需含有水土保持方案章节</w:t>
            </w:r>
            <w:r>
              <w:rPr>
                <w:rFonts w:hint="eastAsia" w:ascii="仿宋_GB2312" w:hAnsi="仿宋_GB2312" w:cs="仿宋_GB2312"/>
                <w:color w:val="auto"/>
                <w:sz w:val="18"/>
                <w:szCs w:val="18"/>
                <w:lang w:val="en-US" w:eastAsia="zh-CN"/>
              </w:rPr>
              <w:t>（</w:t>
            </w:r>
            <w:r>
              <w:rPr>
                <w:rFonts w:hint="eastAsia" w:ascii="仿宋_GB2312" w:hAnsi="仿宋_GB2312" w:eastAsia="仿宋_GB2312" w:cs="仿宋_GB2312"/>
                <w:i w:val="0"/>
                <w:iCs w:val="0"/>
                <w:color w:val="auto"/>
                <w:kern w:val="0"/>
                <w:sz w:val="18"/>
                <w:szCs w:val="18"/>
                <w:u w:val="none"/>
                <w:lang w:val="en-US" w:eastAsia="zh-CN" w:bidi="ar"/>
              </w:rPr>
              <w:t>含技术评审意见，编写人员签字，加盖生产建设单位和编制单位公章，原件一式一份、拟留件，电子版一份</w:t>
            </w:r>
            <w:r>
              <w:rPr>
                <w:rFonts w:hint="eastAsia" w:ascii="仿宋_GB2312" w:hAnsi="仿宋_GB2312" w:cs="仿宋_GB2312"/>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4766" w:type="pct"/>
            <w:gridSpan w:val="8"/>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highlight w:val="none"/>
                <w:lang w:val="en-US" w:eastAsia="zh-CN"/>
              </w:rPr>
              <w:t>（三）办理取水许可审批的申请材料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372"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5</w:t>
            </w:r>
          </w:p>
        </w:tc>
        <w:tc>
          <w:tcPr>
            <w:tcW w:w="4393" w:type="pct"/>
            <w:gridSpan w:val="7"/>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水资源论证报告书或综合评价报告书中需含有水资源论证章节（含技术审查意见，原件一式三份、拟留件）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4766" w:type="pct"/>
            <w:gridSpan w:val="8"/>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（四）办理城镇污水排入排水管网许可证核发（施工期排水）的申请材料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p>
        </w:tc>
        <w:tc>
          <w:tcPr>
            <w:tcW w:w="372" w:type="pct"/>
            <w:tcBorders>
              <w:tl2br w:val="nil"/>
              <w:tr2bl w:val="nil"/>
            </w:tcBorders>
            <w:noWrap/>
            <w:vAlign w:val="center"/>
          </w:tcPr>
          <w:p>
            <w:pPr>
              <w:keepNext w:val="0"/>
              <w:keepLines w:val="0"/>
              <w:widowControl/>
              <w:suppressLineNumbers w:val="0"/>
              <w:jc w:val="center"/>
              <w:textAlignment w:val="center"/>
              <w:rPr>
                <w:rFonts w:hint="eastAsia" w:ascii="仿宋_GB2312" w:hAnsi="仿宋_GB2312" w:cs="仿宋_GB2312"/>
                <w:color w:val="auto"/>
                <w:sz w:val="18"/>
                <w:szCs w:val="18"/>
                <w:highlight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6</w:t>
            </w:r>
          </w:p>
        </w:tc>
        <w:tc>
          <w:tcPr>
            <w:tcW w:w="4393" w:type="pct"/>
            <w:gridSpan w:val="7"/>
            <w:tcBorders>
              <w:tl2br w:val="nil"/>
              <w:tr2bl w:val="nil"/>
            </w:tcBorders>
            <w:noWrap/>
            <w:vAlign w:val="center"/>
          </w:tcPr>
          <w:p>
            <w:pPr>
              <w:keepNext w:val="0"/>
              <w:keepLines w:val="0"/>
              <w:widowControl/>
              <w:suppressLineNumbers w:val="0"/>
              <w:jc w:val="left"/>
              <w:textAlignment w:val="center"/>
              <w:rPr>
                <w:rFonts w:hint="eastAsia" w:ascii="仿宋_GB2312" w:hAnsi="仿宋_GB2312" w:cs="仿宋_GB2312"/>
                <w:color w:val="auto"/>
                <w:sz w:val="18"/>
                <w:szCs w:val="18"/>
                <w:highlight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排水设计方案（包括排水户内部排水管网、专用检测井、雨污水排放口位置和口径的图纸及说明材料）（原件一份，纸质或电子，必要）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372" w:type="pct"/>
            <w:tcBorders>
              <w:tl2br w:val="nil"/>
              <w:tr2bl w:val="nil"/>
            </w:tcBorders>
            <w:noWrap/>
            <w:vAlign w:val="center"/>
          </w:tcPr>
          <w:p>
            <w:pPr>
              <w:keepNext w:val="0"/>
              <w:keepLines w:val="0"/>
              <w:widowControl/>
              <w:suppressLineNumbers w:val="0"/>
              <w:jc w:val="center"/>
              <w:textAlignment w:val="center"/>
              <w:rPr>
                <w:rFonts w:hint="eastAsia" w:ascii="仿宋_GB2312" w:hAnsi="仿宋_GB2312" w:cs="仿宋_GB2312"/>
                <w:color w:val="auto"/>
                <w:sz w:val="18"/>
                <w:szCs w:val="18"/>
                <w:highlight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7</w:t>
            </w:r>
          </w:p>
        </w:tc>
        <w:tc>
          <w:tcPr>
            <w:tcW w:w="4393" w:type="pct"/>
            <w:gridSpan w:val="7"/>
            <w:tcBorders>
              <w:tl2br w:val="nil"/>
              <w:tr2bl w:val="nil"/>
            </w:tcBorders>
            <w:noWrap/>
            <w:vAlign w:val="center"/>
          </w:tcPr>
          <w:p>
            <w:pPr>
              <w:keepNext w:val="0"/>
              <w:keepLines w:val="0"/>
              <w:widowControl/>
              <w:suppressLineNumbers w:val="0"/>
              <w:jc w:val="left"/>
              <w:textAlignment w:val="center"/>
              <w:rPr>
                <w:rFonts w:hint="eastAsia" w:ascii="仿宋_GB2312" w:hAnsi="仿宋_GB2312" w:cs="仿宋_GB2312"/>
                <w:color w:val="auto"/>
                <w:sz w:val="18"/>
                <w:szCs w:val="18"/>
                <w:highlight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排水水质合格承诺书（原件一份，纸质或电子，必要）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372" w:type="pct"/>
            <w:tcBorders>
              <w:tl2br w:val="nil"/>
              <w:tr2bl w:val="nil"/>
            </w:tcBorders>
            <w:noWrap/>
            <w:vAlign w:val="center"/>
          </w:tcPr>
          <w:p>
            <w:pPr>
              <w:keepNext w:val="0"/>
              <w:keepLines w:val="0"/>
              <w:widowControl/>
              <w:suppressLineNumbers w:val="0"/>
              <w:jc w:val="center"/>
              <w:textAlignment w:val="center"/>
              <w:rPr>
                <w:rFonts w:hint="eastAsia" w:ascii="仿宋_GB2312" w:hAnsi="仿宋_GB2312" w:cs="仿宋_GB2312"/>
                <w:color w:val="auto"/>
                <w:sz w:val="18"/>
                <w:szCs w:val="18"/>
                <w:highlight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8</w:t>
            </w:r>
          </w:p>
        </w:tc>
        <w:tc>
          <w:tcPr>
            <w:tcW w:w="4393" w:type="pct"/>
            <w:gridSpan w:val="7"/>
            <w:tcBorders>
              <w:tl2br w:val="nil"/>
              <w:tr2bl w:val="nil"/>
            </w:tcBorders>
            <w:noWrap/>
            <w:vAlign w:val="center"/>
          </w:tcPr>
          <w:p>
            <w:pPr>
              <w:keepNext w:val="0"/>
              <w:keepLines w:val="0"/>
              <w:widowControl/>
              <w:suppressLineNumbers w:val="0"/>
              <w:jc w:val="left"/>
              <w:textAlignment w:val="center"/>
              <w:rPr>
                <w:rFonts w:hint="eastAsia" w:ascii="仿宋_GB2312" w:hAnsi="仿宋_GB2312" w:cs="仿宋_GB2312"/>
                <w:color w:val="auto"/>
                <w:sz w:val="18"/>
                <w:szCs w:val="18"/>
                <w:highlight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排水隐蔽工程竣工报告，或者排水户承诺排水隐蔽工程合格且不存在雨水污水管网混接错接、雨水污水混排的书面承诺书（原件一份，纸质或电子，必要）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372" w:type="pct"/>
            <w:tcBorders>
              <w:tl2br w:val="nil"/>
              <w:tr2bl w:val="nil"/>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cs="仿宋_GB2312"/>
                <w:i w:val="0"/>
                <w:iCs w:val="0"/>
                <w:color w:val="auto"/>
                <w:kern w:val="0"/>
                <w:sz w:val="18"/>
                <w:szCs w:val="18"/>
                <w:highlight w:val="none"/>
                <w:u w:val="none"/>
                <w:lang w:val="en-US" w:eastAsia="zh-CN" w:bidi="ar"/>
              </w:rPr>
              <w:t>9</w:t>
            </w:r>
          </w:p>
        </w:tc>
        <w:tc>
          <w:tcPr>
            <w:tcW w:w="4393" w:type="pct"/>
            <w:gridSpan w:val="7"/>
            <w:tcBorders>
              <w:tl2br w:val="nil"/>
              <w:tr2bl w:val="nil"/>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按</w:t>
            </w:r>
            <w:r>
              <w:rPr>
                <w:rFonts w:hint="eastAsia" w:ascii="仿宋_GB2312" w:hAnsi="仿宋_GB2312" w:cs="仿宋_GB2312"/>
                <w:i w:val="0"/>
                <w:iCs w:val="0"/>
                <w:color w:val="auto"/>
                <w:kern w:val="0"/>
                <w:sz w:val="18"/>
                <w:szCs w:val="18"/>
                <w:highlight w:val="none"/>
                <w:u w:val="none"/>
                <w:lang w:val="en-US" w:eastAsia="zh-CN" w:bidi="ar"/>
              </w:rPr>
              <w:t>照国家有关</w:t>
            </w:r>
            <w:r>
              <w:rPr>
                <w:rFonts w:hint="eastAsia" w:ascii="仿宋_GB2312" w:hAnsi="仿宋_GB2312" w:eastAsia="仿宋_GB2312" w:cs="仿宋_GB2312"/>
                <w:i w:val="0"/>
                <w:iCs w:val="0"/>
                <w:color w:val="auto"/>
                <w:kern w:val="0"/>
                <w:sz w:val="18"/>
                <w:szCs w:val="18"/>
                <w:highlight w:val="none"/>
                <w:u w:val="none"/>
                <w:lang w:val="en-US" w:eastAsia="zh-CN" w:bidi="ar"/>
              </w:rPr>
              <w:t>规定建设污水预处理设施的</w:t>
            </w:r>
            <w:r>
              <w:rPr>
                <w:rFonts w:hint="eastAsia" w:ascii="仿宋_GB2312" w:hAnsi="仿宋_GB2312" w:cs="仿宋_GB2312"/>
                <w:i w:val="0"/>
                <w:iCs w:val="0"/>
                <w:color w:val="auto"/>
                <w:kern w:val="0"/>
                <w:sz w:val="18"/>
                <w:szCs w:val="18"/>
                <w:highlight w:val="none"/>
                <w:u w:val="none"/>
                <w:lang w:val="en-US" w:eastAsia="zh-CN" w:bidi="ar"/>
              </w:rPr>
              <w:t>有关</w:t>
            </w:r>
            <w:r>
              <w:rPr>
                <w:rFonts w:hint="eastAsia" w:ascii="仿宋_GB2312" w:hAnsi="仿宋_GB2312" w:eastAsia="仿宋_GB2312" w:cs="仿宋_GB2312"/>
                <w:i w:val="0"/>
                <w:iCs w:val="0"/>
                <w:color w:val="auto"/>
                <w:kern w:val="0"/>
                <w:sz w:val="18"/>
                <w:szCs w:val="18"/>
                <w:highlight w:val="none"/>
                <w:u w:val="none"/>
                <w:lang w:val="en-US" w:eastAsia="zh-CN" w:bidi="ar"/>
              </w:rPr>
              <w:t>材料（原件一份，纸质或电子，必要）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4766" w:type="pct"/>
            <w:gridSpan w:val="8"/>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（五）办理河道（湖泊、水库）管理范围内建设项目工程建设方案审批的申请材料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372"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10</w:t>
            </w:r>
          </w:p>
        </w:tc>
        <w:tc>
          <w:tcPr>
            <w:tcW w:w="4393" w:type="pct"/>
            <w:gridSpan w:val="7"/>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洪水影响评价报告书或综合评价报告书中需含有洪水影响评价章节（含技术审查意见，原件一式三份、拟留件）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4766" w:type="pct"/>
            <w:gridSpan w:val="8"/>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（六）办理拆除、改动城镇排水与污水处理设施审核的申请材料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372"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11</w:t>
            </w:r>
          </w:p>
        </w:tc>
        <w:tc>
          <w:tcPr>
            <w:tcW w:w="4393" w:type="pct"/>
            <w:gridSpan w:val="7"/>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工程建设项目规划红线图（规划部门规定无需办理工程建设规划手续或仅办理备案手续的工程建设项目除外）（原件或复印件一份，必要，纸质或电子）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372"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12</w:t>
            </w:r>
          </w:p>
        </w:tc>
        <w:tc>
          <w:tcPr>
            <w:tcW w:w="4393" w:type="pct"/>
            <w:gridSpan w:val="7"/>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排水与污水处理设施拆除、改动设计、施工方案及施工图（原件一份，必要，纸质或电子）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372"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13</w:t>
            </w:r>
          </w:p>
        </w:tc>
        <w:tc>
          <w:tcPr>
            <w:tcW w:w="4393" w:type="pct"/>
            <w:gridSpan w:val="7"/>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排水与污水处理设施权属单位意见（原件一式一份、拟留件）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4766" w:type="pct"/>
            <w:gridSpan w:val="8"/>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（七）办理占用农业灌溉水源、灌排工程设施审批的申请材料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372"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14</w:t>
            </w:r>
          </w:p>
        </w:tc>
        <w:tc>
          <w:tcPr>
            <w:tcW w:w="4393" w:type="pct"/>
            <w:gridSpan w:val="7"/>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建设项目占用农业灌溉水源、灌排工程设施补救措施方案（原件一式一份、拟留件）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3" w:type="pct"/>
            <w:vMerge w:val="restart"/>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4766" w:type="pct"/>
            <w:gridSpan w:val="8"/>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二、由审批部门通过电子证照库等系统自行调用的材料，申请人仅需提供原件供窗口核验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372"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1</w:t>
            </w:r>
          </w:p>
        </w:tc>
        <w:tc>
          <w:tcPr>
            <w:tcW w:w="4393" w:type="pct"/>
            <w:gridSpan w:val="7"/>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营业执照（若无法调用，则由申请人提供）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372"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2</w:t>
            </w:r>
          </w:p>
        </w:tc>
        <w:tc>
          <w:tcPr>
            <w:tcW w:w="4393" w:type="pct"/>
            <w:gridSpan w:val="7"/>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企业法人身份证、委托代理人身份证（若无法调用，则由申请人提供）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3" w:type="pct"/>
            <w:vMerge w:val="continue"/>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p>
        </w:tc>
        <w:tc>
          <w:tcPr>
            <w:tcW w:w="372"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3</w:t>
            </w:r>
          </w:p>
        </w:tc>
        <w:tc>
          <w:tcPr>
            <w:tcW w:w="4393" w:type="pct"/>
            <w:gridSpan w:val="7"/>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项目可行性研究报告或相关批复文件（若无法调用，则由申请人提供）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6" w:type="pct"/>
            <w:gridSpan w:val="2"/>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跑动次数</w:t>
            </w:r>
          </w:p>
        </w:tc>
        <w:tc>
          <w:tcPr>
            <w:tcW w:w="1464" w:type="pct"/>
            <w:gridSpan w:val="4"/>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0次</w:t>
            </w:r>
          </w:p>
        </w:tc>
        <w:tc>
          <w:tcPr>
            <w:tcW w:w="1464" w:type="pct"/>
            <w:gridSpan w:val="2"/>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跑动原因</w:t>
            </w:r>
          </w:p>
        </w:tc>
        <w:tc>
          <w:tcPr>
            <w:tcW w:w="1465"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6" w:type="pct"/>
            <w:gridSpan w:val="2"/>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办理程序</w:t>
            </w:r>
          </w:p>
        </w:tc>
        <w:tc>
          <w:tcPr>
            <w:tcW w:w="4393" w:type="pct"/>
            <w:gridSpan w:val="7"/>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申请受理→审核审批（专家论证、现场踏勘）→办结送达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6" w:type="pct"/>
            <w:gridSpan w:val="2"/>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是否收费</w:t>
            </w:r>
          </w:p>
        </w:tc>
        <w:tc>
          <w:tcPr>
            <w:tcW w:w="1464" w:type="pct"/>
            <w:gridSpan w:val="4"/>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否</w:t>
            </w:r>
          </w:p>
        </w:tc>
        <w:tc>
          <w:tcPr>
            <w:tcW w:w="1464" w:type="pct"/>
            <w:gridSpan w:val="2"/>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收费标准</w:t>
            </w:r>
          </w:p>
        </w:tc>
        <w:tc>
          <w:tcPr>
            <w:tcW w:w="1465" w:type="pct"/>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6" w:type="pct"/>
            <w:gridSpan w:val="2"/>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收费依据</w:t>
            </w:r>
          </w:p>
        </w:tc>
        <w:tc>
          <w:tcPr>
            <w:tcW w:w="4393" w:type="pct"/>
            <w:gridSpan w:val="7"/>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606" w:type="pct"/>
            <w:gridSpan w:val="2"/>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结果名称</w:t>
            </w:r>
          </w:p>
        </w:tc>
        <w:tc>
          <w:tcPr>
            <w:tcW w:w="4393" w:type="pct"/>
            <w:gridSpan w:val="7"/>
            <w:tcBorders>
              <w:tl2br w:val="nil"/>
              <w:tr2bl w:val="nil"/>
            </w:tcBorders>
            <w:noWrap/>
            <w:vAlign w:val="center"/>
          </w:tcPr>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1.准予水行政许可决定书</w:t>
            </w:r>
            <w:r>
              <w:rPr>
                <w:rFonts w:hint="eastAsia" w:ascii="仿宋_GB2312" w:hAnsi="仿宋_GB2312" w:cs="仿宋_GB2312"/>
                <w:sz w:val="18"/>
                <w:szCs w:val="18"/>
                <w:highlight w:val="none"/>
                <w:lang w:val="en-US" w:eastAsia="zh-CN"/>
              </w:rPr>
              <w:t>；</w:t>
            </w:r>
            <w:r>
              <w:rPr>
                <w:rFonts w:hint="eastAsia" w:ascii="仿宋_GB2312" w:hAnsi="仿宋_GB2312" w:cs="仿宋_GB2312"/>
                <w:sz w:val="18"/>
                <w:szCs w:val="18"/>
                <w:lang w:val="en-US" w:eastAsia="zh-CN"/>
              </w:rPr>
              <w:br w:type="textWrapping"/>
            </w:r>
            <w:r>
              <w:rPr>
                <w:rFonts w:hint="eastAsia" w:ascii="仿宋_GB2312" w:hAnsi="仿宋_GB2312" w:cs="仿宋_GB2312"/>
                <w:sz w:val="18"/>
                <w:szCs w:val="18"/>
                <w:lang w:val="en-US" w:eastAsia="zh-CN"/>
              </w:rPr>
              <w:t>2.取水许可：《中华人民共和国取水许可证》；</w:t>
            </w:r>
            <w:r>
              <w:rPr>
                <w:rFonts w:hint="eastAsia" w:ascii="仿宋_GB2312" w:hAnsi="仿宋_GB2312" w:cs="仿宋_GB2312"/>
                <w:sz w:val="18"/>
                <w:szCs w:val="18"/>
                <w:lang w:val="en-US" w:eastAsia="zh-CN"/>
              </w:rPr>
              <w:br w:type="textWrapping"/>
            </w:r>
            <w:r>
              <w:rPr>
                <w:rFonts w:hint="eastAsia" w:ascii="仿宋_GB2312" w:hAnsi="仿宋_GB2312" w:cs="仿宋_GB2312"/>
                <w:sz w:val="18"/>
                <w:szCs w:val="18"/>
                <w:lang w:val="en-US" w:eastAsia="zh-CN"/>
              </w:rPr>
              <w:t>3.城镇污水排入排水管网许可：《城镇污水排入排水管网许可证》。</w:t>
            </w:r>
          </w:p>
        </w:tc>
      </w:tr>
    </w:tbl>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仿宋_GB2312" w:hAnsi="仿宋_GB2312" w:cs="仿宋_GB2312"/>
          <w:sz w:val="32"/>
          <w:szCs w:val="32"/>
          <w:lang w:val="en-US" w:eastAsia="zh-CN"/>
        </w:rPr>
        <w:sectPr>
          <w:footerReference r:id="rId3" w:type="default"/>
          <w:pgSz w:w="16838" w:h="11906" w:orient="landscape"/>
          <w:pgMar w:top="1417" w:right="1474" w:bottom="1701" w:left="1587"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bookmarkStart w:id="0" w:name="_GoBack"/>
      <w:bookmarkEnd w:id="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Bdr>
          <w:top w:val="none" w:color="auto" w:sz="0" w:space="0"/>
          <w:left w:val="none" w:color="auto" w:sz="0" w:space="0"/>
          <w:bottom w:val="none" w:color="auto" w:sz="0" w:space="0"/>
          <w:right w:val="none" w:color="auto" w:sz="0" w:space="0"/>
          <w:between w:val="none" w:color="auto" w:sz="0" w:space="0"/>
        </w:pBdr>
        <w:rPr>
          <w:rFonts w:hint="eastAsia"/>
        </w:rPr>
      </w:pPr>
    </w:p>
    <w:p>
      <w:pPr>
        <w:pBdr>
          <w:top w:val="none" w:color="auto" w:sz="0" w:space="0"/>
          <w:left w:val="none" w:color="auto" w:sz="0" w:space="0"/>
          <w:bottom w:val="none" w:color="auto" w:sz="0" w:space="0"/>
          <w:right w:val="none" w:color="auto" w:sz="0" w:space="0"/>
          <w:between w:val="none" w:color="auto" w:sz="0" w:space="0"/>
        </w:pBdr>
        <w:spacing w:line="500" w:lineRule="exact"/>
        <w:ind w:firstLine="0" w:firstLineChars="0"/>
        <w:outlineLvl w:val="0"/>
        <w:rPr>
          <w:rFonts w:hint="eastAsia" w:eastAsia="仿宋_GB2312"/>
          <w:lang w:eastAsia="zh-CN"/>
        </w:rPr>
      </w:pPr>
    </w:p>
    <w:sectPr>
      <w:headerReference r:id="rId4" w:type="first"/>
      <w:footerReference r:id="rId7" w:type="first"/>
      <w:footerReference r:id="rId5" w:type="default"/>
      <w:footerReference r:id="rId6" w:type="even"/>
      <w:pgSz w:w="11907" w:h="16840"/>
      <w:pgMar w:top="2098" w:right="1474" w:bottom="1701" w:left="1587" w:header="851" w:footer="1361" w:gutter="0"/>
      <w:pgBorders>
        <w:top w:val="none" w:sz="0" w:space="0"/>
        <w:left w:val="none" w:sz="0" w:space="0"/>
        <w:bottom w:val="none" w:sz="0" w:space="0"/>
        <w:right w:val="none" w:sz="0" w:space="0"/>
      </w:pgBorders>
      <w:pgNumType w:fmt="decimal" w:start="26"/>
      <w:cols w:space="0" w:num="1"/>
      <w:titlePg/>
      <w:rtlGutter w:val="0"/>
      <w:docGrid w:linePitch="5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公文小标宋简">
    <w:altName w:val="宋体"/>
    <w:panose1 w:val="02010609010101010101"/>
    <w:charset w:val="00"/>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wiss"/>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ind w:left="350"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tabs>
                              <w:tab w:val="clear" w:pos="4153"/>
                              <w:tab w:val="clear" w:pos="8306"/>
                            </w:tabs>
                            <w:ind w:left="350" w:right="360"/>
                            <w:jc w:val="left"/>
                          </w:pPr>
                          <w:r>
                            <w:rPr>
                              <w:rStyle w:val="27"/>
                              <w:rFonts w:hint="eastAsia"/>
                            </w:rPr>
                            <w:t>－</w:t>
                          </w:r>
                          <w:r>
                            <w:rPr>
                              <w:rFonts w:hint="eastAsia" w:asciiTheme="minorEastAsia" w:hAnsiTheme="minorEastAsia" w:eastAsiaTheme="minorEastAsia" w:cstheme="minorEastAsia"/>
                              <w:sz w:val="28"/>
                              <w:szCs w:val="28"/>
                            </w:rPr>
                            <w:fldChar w:fldCharType="begin"/>
                          </w:r>
                          <w:r>
                            <w:rPr>
                              <w:rStyle w:val="27"/>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Style w:val="27"/>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Style w:val="27"/>
                              <w:rFonts w:hint="eastAsia"/>
                            </w:rPr>
                            <w:t>－</w:t>
                          </w:r>
                        </w:p>
                        <w:p>
                          <w:pPr>
                            <w:pStyle w:val="14"/>
                            <w:tabs>
                              <w:tab w:val="clear" w:pos="4153"/>
                              <w:tab w:val="clear" w:pos="8306"/>
                            </w:tabs>
                            <w:ind w:left="350" w:right="360"/>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4"/>
                      <w:tabs>
                        <w:tab w:val="clear" w:pos="4153"/>
                        <w:tab w:val="clear" w:pos="8306"/>
                      </w:tabs>
                      <w:ind w:left="350" w:right="360"/>
                      <w:jc w:val="left"/>
                    </w:pPr>
                    <w:r>
                      <w:rPr>
                        <w:rStyle w:val="27"/>
                        <w:rFonts w:hint="eastAsia"/>
                      </w:rPr>
                      <w:t>－</w:t>
                    </w:r>
                    <w:r>
                      <w:rPr>
                        <w:rFonts w:hint="eastAsia" w:asciiTheme="minorEastAsia" w:hAnsiTheme="minorEastAsia" w:eastAsiaTheme="minorEastAsia" w:cstheme="minorEastAsia"/>
                        <w:sz w:val="28"/>
                        <w:szCs w:val="28"/>
                      </w:rPr>
                      <w:fldChar w:fldCharType="begin"/>
                    </w:r>
                    <w:r>
                      <w:rPr>
                        <w:rStyle w:val="27"/>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Style w:val="27"/>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Style w:val="27"/>
                        <w:rFonts w:hint="eastAsia"/>
                      </w:rPr>
                      <w:t>－</w:t>
                    </w:r>
                  </w:p>
                  <w:p>
                    <w:pPr>
                      <w:pStyle w:val="14"/>
                      <w:tabs>
                        <w:tab w:val="clear" w:pos="4153"/>
                        <w:tab w:val="clear" w:pos="8306"/>
                      </w:tabs>
                      <w:ind w:left="350" w:right="360"/>
                      <w:rPr>
                        <w:rFonts w:hint="eastAsia" w:asciiTheme="minorEastAsia" w:hAnsiTheme="minorEastAsia" w:eastAsiaTheme="minorEastAsia" w:cs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ind w:left="350" w:right="36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tabs>
                              <w:tab w:val="clear" w:pos="4153"/>
                              <w:tab w:val="clear" w:pos="8306"/>
                            </w:tabs>
                            <w:ind w:left="350" w:right="360"/>
                            <w:jc w:val="center"/>
                          </w:pPr>
                          <w:r>
                            <w:rPr>
                              <w:rStyle w:val="27"/>
                              <w:rFonts w:hint="eastAsia"/>
                            </w:rPr>
                            <w:t>－</w:t>
                          </w:r>
                          <w:r>
                            <w:rPr>
                              <w:rFonts w:hint="eastAsia" w:asciiTheme="minorEastAsia" w:hAnsiTheme="minorEastAsia" w:eastAsiaTheme="minorEastAsia" w:cstheme="minorEastAsia"/>
                              <w:sz w:val="28"/>
                              <w:szCs w:val="28"/>
                            </w:rPr>
                            <w:fldChar w:fldCharType="begin"/>
                          </w:r>
                          <w:r>
                            <w:rPr>
                              <w:rStyle w:val="27"/>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Style w:val="27"/>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Style w:val="27"/>
                              <w:rFonts w:hint="eastAsi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4"/>
                      <w:tabs>
                        <w:tab w:val="clear" w:pos="4153"/>
                        <w:tab w:val="clear" w:pos="8306"/>
                      </w:tabs>
                      <w:ind w:left="350" w:right="360"/>
                      <w:jc w:val="center"/>
                    </w:pPr>
                    <w:r>
                      <w:rPr>
                        <w:rStyle w:val="27"/>
                        <w:rFonts w:hint="eastAsia"/>
                      </w:rPr>
                      <w:t>－</w:t>
                    </w:r>
                    <w:r>
                      <w:rPr>
                        <w:rFonts w:hint="eastAsia" w:asciiTheme="minorEastAsia" w:hAnsiTheme="minorEastAsia" w:eastAsiaTheme="minorEastAsia" w:cstheme="minorEastAsia"/>
                        <w:sz w:val="28"/>
                        <w:szCs w:val="28"/>
                      </w:rPr>
                      <w:fldChar w:fldCharType="begin"/>
                    </w:r>
                    <w:r>
                      <w:rPr>
                        <w:rStyle w:val="27"/>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Style w:val="27"/>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Style w:val="27"/>
                        <w:rFonts w:hint="eastAsia"/>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ind w:left="350"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ind w:left="350" w:right="360"/>
      <w:rPr>
        <w:rFonts w:hint="eastAsia" w:eastAsia="仿宋_GB2312"/>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00125" cy="23685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00012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tabs>
                              <w:tab w:val="clear" w:pos="4153"/>
                              <w:tab w:val="clear" w:pos="8306"/>
                            </w:tabs>
                            <w:ind w:left="350" w:right="360"/>
                            <w:rPr>
                              <w:rFonts w:hint="eastAsia"/>
                            </w:rPr>
                          </w:pPr>
                          <w:r>
                            <w:rPr>
                              <w:rStyle w:val="27"/>
                              <w:rFonts w:hint="eastAsia"/>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Style w:val="27"/>
                              <w:rFonts w:hint="eastAsia"/>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Style w:val="27"/>
                              <w:rFonts w:hint="eastAsia"/>
                            </w:rPr>
                            <w:t>－</w:t>
                          </w:r>
                        </w:p>
                        <w:p>
                          <w:pPr>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78.75pt;mso-position-horizontal:outside;mso-position-horizontal-relative:margin;z-index:251661312;mso-width-relative:page;mso-height-relative:page;" filled="f" stroked="f" coordsize="21600,21600" o:gfxdata="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ZYDlzVAAAABAEAAA8AAAAAAAAAAQAgAAAAIgAAAGRycy9kb3ducmV2&#10;LnhtbFBLAQIUABQAAAAIAIdO4kAl9bq+OAIAAGQEAAAOAAAAAAAAAAEAIAAAACQBAABkcnMvZTJv&#10;RG9jLnhtbFBLBQYAAAAABgAGAFkBAADOBQAAAAA=&#10;">
              <v:fill on="f" focussize="0,0"/>
              <v:stroke on="f" weight="0.5pt"/>
              <v:imagedata o:title=""/>
              <o:lock v:ext="edit" aspectratio="f"/>
              <v:textbox inset="0mm,0mm,0mm,0mm">
                <w:txbxContent>
                  <w:p>
                    <w:pPr>
                      <w:pStyle w:val="14"/>
                      <w:tabs>
                        <w:tab w:val="clear" w:pos="4153"/>
                        <w:tab w:val="clear" w:pos="8306"/>
                      </w:tabs>
                      <w:ind w:left="350" w:right="360"/>
                      <w:rPr>
                        <w:rFonts w:hint="eastAsia"/>
                      </w:rPr>
                    </w:pPr>
                    <w:r>
                      <w:rPr>
                        <w:rStyle w:val="27"/>
                        <w:rFonts w:hint="eastAsia"/>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Style w:val="27"/>
                        <w:rFonts w:hint="eastAsia"/>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Style w:val="27"/>
                        <w:rFonts w:hint="eastAsia"/>
                      </w:rPr>
                      <w:t>－</w:t>
                    </w:r>
                  </w:p>
                  <w:p>
                    <w:pPr>
                      <w:rPr>
                        <w:rFonts w:hint="eastAsia" w:asciiTheme="minorEastAsia" w:hAnsiTheme="minorEastAsia" w:eastAsiaTheme="minorEastAsia" w:cstheme="minorEastAsia"/>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enforcement="0"/>
  <w:defaultTabStop w:val="425"/>
  <w:hyphenationZone w:val="360"/>
  <w:drawingGridHorizontalSpacing w:val="160"/>
  <w:drawingGridVerticalSpacing w:val="435"/>
  <w:displayHorizontalDrawingGridEvery w:val="0"/>
  <w:displayVerticalDrawingGridEvery w:val="1"/>
  <w:characterSpacingControl w:val="compressPunctuation"/>
  <w:hdrShapeDefaults>
    <o:shapelayout v:ext="edit">
      <o:idmap v:ext="edit" data="3,4"/>
    </o:shapelayout>
  </w:hdrShapeDefaults>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OGUxMzZkYjc3OWEyM2MwM2YyZmMwN2QwYzExMDgifQ=="/>
  </w:docVars>
  <w:rsids>
    <w:rsidRoot w:val="006F6544"/>
    <w:rsid w:val="000027E7"/>
    <w:rsid w:val="00006D86"/>
    <w:rsid w:val="00007738"/>
    <w:rsid w:val="00010424"/>
    <w:rsid w:val="00010AC2"/>
    <w:rsid w:val="00012E8B"/>
    <w:rsid w:val="0001300E"/>
    <w:rsid w:val="00013E4F"/>
    <w:rsid w:val="00015B83"/>
    <w:rsid w:val="00016A0C"/>
    <w:rsid w:val="00017123"/>
    <w:rsid w:val="000223C5"/>
    <w:rsid w:val="00023E50"/>
    <w:rsid w:val="00024815"/>
    <w:rsid w:val="00032BFB"/>
    <w:rsid w:val="00033844"/>
    <w:rsid w:val="00034674"/>
    <w:rsid w:val="00034A6E"/>
    <w:rsid w:val="00034F89"/>
    <w:rsid w:val="0003615E"/>
    <w:rsid w:val="00036367"/>
    <w:rsid w:val="00036DE0"/>
    <w:rsid w:val="0004120B"/>
    <w:rsid w:val="00042797"/>
    <w:rsid w:val="0004353D"/>
    <w:rsid w:val="0004401D"/>
    <w:rsid w:val="00045835"/>
    <w:rsid w:val="00050F20"/>
    <w:rsid w:val="00051802"/>
    <w:rsid w:val="000524CE"/>
    <w:rsid w:val="000539EA"/>
    <w:rsid w:val="00053D48"/>
    <w:rsid w:val="0005503D"/>
    <w:rsid w:val="000557C4"/>
    <w:rsid w:val="000572BD"/>
    <w:rsid w:val="00057530"/>
    <w:rsid w:val="000605FA"/>
    <w:rsid w:val="00060907"/>
    <w:rsid w:val="00060A30"/>
    <w:rsid w:val="00062779"/>
    <w:rsid w:val="00066401"/>
    <w:rsid w:val="000665E7"/>
    <w:rsid w:val="00066B11"/>
    <w:rsid w:val="00067C85"/>
    <w:rsid w:val="00070210"/>
    <w:rsid w:val="00070333"/>
    <w:rsid w:val="0007260D"/>
    <w:rsid w:val="000735FC"/>
    <w:rsid w:val="000737E2"/>
    <w:rsid w:val="0007432B"/>
    <w:rsid w:val="00075875"/>
    <w:rsid w:val="000758EA"/>
    <w:rsid w:val="000775EA"/>
    <w:rsid w:val="000816ED"/>
    <w:rsid w:val="000821E5"/>
    <w:rsid w:val="0008346D"/>
    <w:rsid w:val="00083BFE"/>
    <w:rsid w:val="00083CC8"/>
    <w:rsid w:val="0008577F"/>
    <w:rsid w:val="0008589F"/>
    <w:rsid w:val="00087CC9"/>
    <w:rsid w:val="000906E1"/>
    <w:rsid w:val="00090C23"/>
    <w:rsid w:val="00091350"/>
    <w:rsid w:val="00092A12"/>
    <w:rsid w:val="00093EBA"/>
    <w:rsid w:val="000941AE"/>
    <w:rsid w:val="000955AC"/>
    <w:rsid w:val="00095656"/>
    <w:rsid w:val="000A2B60"/>
    <w:rsid w:val="000A4395"/>
    <w:rsid w:val="000A488F"/>
    <w:rsid w:val="000A66B7"/>
    <w:rsid w:val="000A69F5"/>
    <w:rsid w:val="000A7875"/>
    <w:rsid w:val="000B5893"/>
    <w:rsid w:val="000B6582"/>
    <w:rsid w:val="000B7335"/>
    <w:rsid w:val="000C1A52"/>
    <w:rsid w:val="000C3178"/>
    <w:rsid w:val="000C3D63"/>
    <w:rsid w:val="000C48EF"/>
    <w:rsid w:val="000C54C6"/>
    <w:rsid w:val="000C6548"/>
    <w:rsid w:val="000C6594"/>
    <w:rsid w:val="000C6A8E"/>
    <w:rsid w:val="000C7D76"/>
    <w:rsid w:val="000D561B"/>
    <w:rsid w:val="000D5870"/>
    <w:rsid w:val="000D7F72"/>
    <w:rsid w:val="000E05B7"/>
    <w:rsid w:val="000E0F72"/>
    <w:rsid w:val="000E1B09"/>
    <w:rsid w:val="000E2E29"/>
    <w:rsid w:val="000E3B7A"/>
    <w:rsid w:val="000F08D2"/>
    <w:rsid w:val="000F623F"/>
    <w:rsid w:val="0010031C"/>
    <w:rsid w:val="00100DCA"/>
    <w:rsid w:val="00100DD4"/>
    <w:rsid w:val="00102B1A"/>
    <w:rsid w:val="00106F96"/>
    <w:rsid w:val="001126A8"/>
    <w:rsid w:val="00112892"/>
    <w:rsid w:val="001128D1"/>
    <w:rsid w:val="00114002"/>
    <w:rsid w:val="00115516"/>
    <w:rsid w:val="001174AD"/>
    <w:rsid w:val="00120454"/>
    <w:rsid w:val="00122ACE"/>
    <w:rsid w:val="00122FD0"/>
    <w:rsid w:val="001247C3"/>
    <w:rsid w:val="00124D93"/>
    <w:rsid w:val="00130DB0"/>
    <w:rsid w:val="00131F72"/>
    <w:rsid w:val="00132B2A"/>
    <w:rsid w:val="00137AC8"/>
    <w:rsid w:val="00142DD0"/>
    <w:rsid w:val="00143115"/>
    <w:rsid w:val="001467AA"/>
    <w:rsid w:val="001479A8"/>
    <w:rsid w:val="001517E0"/>
    <w:rsid w:val="00151D8A"/>
    <w:rsid w:val="00152F9A"/>
    <w:rsid w:val="00155647"/>
    <w:rsid w:val="0015656D"/>
    <w:rsid w:val="00161CB8"/>
    <w:rsid w:val="00161ED5"/>
    <w:rsid w:val="00163707"/>
    <w:rsid w:val="00172E0F"/>
    <w:rsid w:val="0017409E"/>
    <w:rsid w:val="00181108"/>
    <w:rsid w:val="00184C54"/>
    <w:rsid w:val="001876B2"/>
    <w:rsid w:val="00187CF2"/>
    <w:rsid w:val="00187FB6"/>
    <w:rsid w:val="0019128F"/>
    <w:rsid w:val="001923D5"/>
    <w:rsid w:val="0019288E"/>
    <w:rsid w:val="00194860"/>
    <w:rsid w:val="00195E65"/>
    <w:rsid w:val="001964CC"/>
    <w:rsid w:val="0019789B"/>
    <w:rsid w:val="001A06BE"/>
    <w:rsid w:val="001A158F"/>
    <w:rsid w:val="001A6469"/>
    <w:rsid w:val="001B2166"/>
    <w:rsid w:val="001B5E11"/>
    <w:rsid w:val="001B5FE0"/>
    <w:rsid w:val="001B66B4"/>
    <w:rsid w:val="001B6C78"/>
    <w:rsid w:val="001C0DE8"/>
    <w:rsid w:val="001C136A"/>
    <w:rsid w:val="001C231D"/>
    <w:rsid w:val="001C260B"/>
    <w:rsid w:val="001C35DE"/>
    <w:rsid w:val="001C41F4"/>
    <w:rsid w:val="001C4615"/>
    <w:rsid w:val="001C68A6"/>
    <w:rsid w:val="001C6E60"/>
    <w:rsid w:val="001C7D26"/>
    <w:rsid w:val="001D0090"/>
    <w:rsid w:val="001D0AFE"/>
    <w:rsid w:val="001D184E"/>
    <w:rsid w:val="001D19BD"/>
    <w:rsid w:val="001D307C"/>
    <w:rsid w:val="001D3862"/>
    <w:rsid w:val="001D4E59"/>
    <w:rsid w:val="001D6EA8"/>
    <w:rsid w:val="001E01DD"/>
    <w:rsid w:val="001E0230"/>
    <w:rsid w:val="001E0976"/>
    <w:rsid w:val="001E0CBA"/>
    <w:rsid w:val="001E1D7D"/>
    <w:rsid w:val="001E241F"/>
    <w:rsid w:val="001E25C9"/>
    <w:rsid w:val="001E55C9"/>
    <w:rsid w:val="001F01C4"/>
    <w:rsid w:val="001F0BFE"/>
    <w:rsid w:val="001F0E6D"/>
    <w:rsid w:val="001F0EBA"/>
    <w:rsid w:val="001F0FF6"/>
    <w:rsid w:val="001F3C24"/>
    <w:rsid w:val="001F5C5E"/>
    <w:rsid w:val="001F7889"/>
    <w:rsid w:val="00201623"/>
    <w:rsid w:val="00202D28"/>
    <w:rsid w:val="002034ED"/>
    <w:rsid w:val="00203B33"/>
    <w:rsid w:val="00205181"/>
    <w:rsid w:val="00205E51"/>
    <w:rsid w:val="00212260"/>
    <w:rsid w:val="00216F1C"/>
    <w:rsid w:val="0021721B"/>
    <w:rsid w:val="00220A5A"/>
    <w:rsid w:val="00231FD2"/>
    <w:rsid w:val="00233719"/>
    <w:rsid w:val="002347E9"/>
    <w:rsid w:val="002365B7"/>
    <w:rsid w:val="002377A0"/>
    <w:rsid w:val="00237FC5"/>
    <w:rsid w:val="00241C4E"/>
    <w:rsid w:val="00247420"/>
    <w:rsid w:val="00250245"/>
    <w:rsid w:val="00251E1A"/>
    <w:rsid w:val="00252088"/>
    <w:rsid w:val="0025716F"/>
    <w:rsid w:val="002577AD"/>
    <w:rsid w:val="002626E2"/>
    <w:rsid w:val="00265629"/>
    <w:rsid w:val="0026687F"/>
    <w:rsid w:val="002701A4"/>
    <w:rsid w:val="0027209F"/>
    <w:rsid w:val="002757A5"/>
    <w:rsid w:val="002759D9"/>
    <w:rsid w:val="00290AE5"/>
    <w:rsid w:val="002954DC"/>
    <w:rsid w:val="0029683C"/>
    <w:rsid w:val="00296FF1"/>
    <w:rsid w:val="002975AA"/>
    <w:rsid w:val="002A3CB0"/>
    <w:rsid w:val="002A4F15"/>
    <w:rsid w:val="002A64B1"/>
    <w:rsid w:val="002A7244"/>
    <w:rsid w:val="002B43C5"/>
    <w:rsid w:val="002B4B42"/>
    <w:rsid w:val="002B510B"/>
    <w:rsid w:val="002B6747"/>
    <w:rsid w:val="002B7138"/>
    <w:rsid w:val="002B78B6"/>
    <w:rsid w:val="002B7C82"/>
    <w:rsid w:val="002B7E9E"/>
    <w:rsid w:val="002C7E40"/>
    <w:rsid w:val="002D25D0"/>
    <w:rsid w:val="002D67BD"/>
    <w:rsid w:val="002E119A"/>
    <w:rsid w:val="002E47F2"/>
    <w:rsid w:val="002F32DC"/>
    <w:rsid w:val="002F3785"/>
    <w:rsid w:val="002F56EB"/>
    <w:rsid w:val="002F5DB4"/>
    <w:rsid w:val="003052C6"/>
    <w:rsid w:val="00305DB3"/>
    <w:rsid w:val="00306FCF"/>
    <w:rsid w:val="00310909"/>
    <w:rsid w:val="0031568E"/>
    <w:rsid w:val="00315E2F"/>
    <w:rsid w:val="00317D4B"/>
    <w:rsid w:val="00321825"/>
    <w:rsid w:val="00322ACE"/>
    <w:rsid w:val="00323263"/>
    <w:rsid w:val="00323FF4"/>
    <w:rsid w:val="00324F96"/>
    <w:rsid w:val="00325204"/>
    <w:rsid w:val="00325BE7"/>
    <w:rsid w:val="00327A0D"/>
    <w:rsid w:val="003313C3"/>
    <w:rsid w:val="00334181"/>
    <w:rsid w:val="00334B07"/>
    <w:rsid w:val="0034044C"/>
    <w:rsid w:val="0034161E"/>
    <w:rsid w:val="0034190A"/>
    <w:rsid w:val="0034593B"/>
    <w:rsid w:val="003467EB"/>
    <w:rsid w:val="00346850"/>
    <w:rsid w:val="00350896"/>
    <w:rsid w:val="003528DB"/>
    <w:rsid w:val="00354723"/>
    <w:rsid w:val="00356973"/>
    <w:rsid w:val="003574FB"/>
    <w:rsid w:val="003576A8"/>
    <w:rsid w:val="0036003A"/>
    <w:rsid w:val="0036061A"/>
    <w:rsid w:val="0036349F"/>
    <w:rsid w:val="0036483E"/>
    <w:rsid w:val="0037165F"/>
    <w:rsid w:val="00374DDA"/>
    <w:rsid w:val="0037578A"/>
    <w:rsid w:val="003765EF"/>
    <w:rsid w:val="00376BF0"/>
    <w:rsid w:val="00381F8B"/>
    <w:rsid w:val="003843C3"/>
    <w:rsid w:val="00387B5E"/>
    <w:rsid w:val="00390F09"/>
    <w:rsid w:val="00393D86"/>
    <w:rsid w:val="00393E1E"/>
    <w:rsid w:val="0039585A"/>
    <w:rsid w:val="0039708C"/>
    <w:rsid w:val="003A22A6"/>
    <w:rsid w:val="003A4612"/>
    <w:rsid w:val="003A490D"/>
    <w:rsid w:val="003A583B"/>
    <w:rsid w:val="003A6E2C"/>
    <w:rsid w:val="003B7EC4"/>
    <w:rsid w:val="003C03A1"/>
    <w:rsid w:val="003C070D"/>
    <w:rsid w:val="003C1C71"/>
    <w:rsid w:val="003C2231"/>
    <w:rsid w:val="003C59C2"/>
    <w:rsid w:val="003C5D2B"/>
    <w:rsid w:val="003C6C89"/>
    <w:rsid w:val="003C6CC2"/>
    <w:rsid w:val="003C7325"/>
    <w:rsid w:val="003D1447"/>
    <w:rsid w:val="003D1E80"/>
    <w:rsid w:val="003D2B09"/>
    <w:rsid w:val="003D405B"/>
    <w:rsid w:val="003D5A3E"/>
    <w:rsid w:val="003D6B17"/>
    <w:rsid w:val="003D775F"/>
    <w:rsid w:val="003E2D9F"/>
    <w:rsid w:val="003E5464"/>
    <w:rsid w:val="003E6550"/>
    <w:rsid w:val="003E6D74"/>
    <w:rsid w:val="003F0A1A"/>
    <w:rsid w:val="003F4F4B"/>
    <w:rsid w:val="003F56B3"/>
    <w:rsid w:val="003F5CC4"/>
    <w:rsid w:val="004009E9"/>
    <w:rsid w:val="00401994"/>
    <w:rsid w:val="004027DE"/>
    <w:rsid w:val="00402897"/>
    <w:rsid w:val="0040375D"/>
    <w:rsid w:val="00403BA0"/>
    <w:rsid w:val="00403BB8"/>
    <w:rsid w:val="004042C7"/>
    <w:rsid w:val="00404C32"/>
    <w:rsid w:val="00406C52"/>
    <w:rsid w:val="00407DF7"/>
    <w:rsid w:val="00410131"/>
    <w:rsid w:val="00410B7F"/>
    <w:rsid w:val="00411241"/>
    <w:rsid w:val="00414655"/>
    <w:rsid w:val="00420E10"/>
    <w:rsid w:val="00420F6B"/>
    <w:rsid w:val="0042224D"/>
    <w:rsid w:val="00423D77"/>
    <w:rsid w:val="004249CD"/>
    <w:rsid w:val="00426F3E"/>
    <w:rsid w:val="00427BEE"/>
    <w:rsid w:val="0043212E"/>
    <w:rsid w:val="00433FFC"/>
    <w:rsid w:val="004340C2"/>
    <w:rsid w:val="004341E2"/>
    <w:rsid w:val="00434372"/>
    <w:rsid w:val="00436646"/>
    <w:rsid w:val="00443BAC"/>
    <w:rsid w:val="00444D6E"/>
    <w:rsid w:val="00445916"/>
    <w:rsid w:val="00445FF7"/>
    <w:rsid w:val="0044691C"/>
    <w:rsid w:val="00447C26"/>
    <w:rsid w:val="00447D2F"/>
    <w:rsid w:val="004509D9"/>
    <w:rsid w:val="00451BE0"/>
    <w:rsid w:val="004535A1"/>
    <w:rsid w:val="00453692"/>
    <w:rsid w:val="004537B8"/>
    <w:rsid w:val="00456B30"/>
    <w:rsid w:val="00457A77"/>
    <w:rsid w:val="00457C9A"/>
    <w:rsid w:val="0046001B"/>
    <w:rsid w:val="0046015E"/>
    <w:rsid w:val="00460331"/>
    <w:rsid w:val="00460753"/>
    <w:rsid w:val="004703FA"/>
    <w:rsid w:val="004704DC"/>
    <w:rsid w:val="004722B1"/>
    <w:rsid w:val="00472683"/>
    <w:rsid w:val="00477F6A"/>
    <w:rsid w:val="00484879"/>
    <w:rsid w:val="00485A05"/>
    <w:rsid w:val="0048606D"/>
    <w:rsid w:val="00486FB2"/>
    <w:rsid w:val="00493F58"/>
    <w:rsid w:val="00495E74"/>
    <w:rsid w:val="00496077"/>
    <w:rsid w:val="004A0772"/>
    <w:rsid w:val="004A6FB5"/>
    <w:rsid w:val="004A747C"/>
    <w:rsid w:val="004B1432"/>
    <w:rsid w:val="004B528E"/>
    <w:rsid w:val="004B5C80"/>
    <w:rsid w:val="004B7BF4"/>
    <w:rsid w:val="004C135C"/>
    <w:rsid w:val="004C2B70"/>
    <w:rsid w:val="004C3377"/>
    <w:rsid w:val="004C4C1C"/>
    <w:rsid w:val="004C4F58"/>
    <w:rsid w:val="004C6566"/>
    <w:rsid w:val="004C6F6A"/>
    <w:rsid w:val="004C7EC1"/>
    <w:rsid w:val="004D0215"/>
    <w:rsid w:val="004D1DCA"/>
    <w:rsid w:val="004D5BD9"/>
    <w:rsid w:val="004D5C3E"/>
    <w:rsid w:val="004D5F2F"/>
    <w:rsid w:val="004D7125"/>
    <w:rsid w:val="004D779F"/>
    <w:rsid w:val="004E1B01"/>
    <w:rsid w:val="004E6BD4"/>
    <w:rsid w:val="004F23FB"/>
    <w:rsid w:val="004F543F"/>
    <w:rsid w:val="004F5855"/>
    <w:rsid w:val="004F5C5E"/>
    <w:rsid w:val="004F65D4"/>
    <w:rsid w:val="004F6929"/>
    <w:rsid w:val="004F6A4E"/>
    <w:rsid w:val="004F71BF"/>
    <w:rsid w:val="004F79A4"/>
    <w:rsid w:val="004F79DB"/>
    <w:rsid w:val="0050020B"/>
    <w:rsid w:val="00502D30"/>
    <w:rsid w:val="00504FC7"/>
    <w:rsid w:val="005063F3"/>
    <w:rsid w:val="00510F7C"/>
    <w:rsid w:val="00513053"/>
    <w:rsid w:val="00513914"/>
    <w:rsid w:val="00515B3E"/>
    <w:rsid w:val="005167BE"/>
    <w:rsid w:val="00516C40"/>
    <w:rsid w:val="00517339"/>
    <w:rsid w:val="005209DB"/>
    <w:rsid w:val="00522176"/>
    <w:rsid w:val="00524679"/>
    <w:rsid w:val="00524F9A"/>
    <w:rsid w:val="00527D04"/>
    <w:rsid w:val="00532995"/>
    <w:rsid w:val="00533EFE"/>
    <w:rsid w:val="0053694D"/>
    <w:rsid w:val="00536B6B"/>
    <w:rsid w:val="00537856"/>
    <w:rsid w:val="00537DBE"/>
    <w:rsid w:val="005405D0"/>
    <w:rsid w:val="00540AE4"/>
    <w:rsid w:val="00543A20"/>
    <w:rsid w:val="005449AF"/>
    <w:rsid w:val="00545CAA"/>
    <w:rsid w:val="005476DE"/>
    <w:rsid w:val="00547FEE"/>
    <w:rsid w:val="00550282"/>
    <w:rsid w:val="005513FC"/>
    <w:rsid w:val="00551946"/>
    <w:rsid w:val="0055228B"/>
    <w:rsid w:val="00553BC1"/>
    <w:rsid w:val="00553E44"/>
    <w:rsid w:val="00556BDE"/>
    <w:rsid w:val="00556F4C"/>
    <w:rsid w:val="00557D49"/>
    <w:rsid w:val="00563D35"/>
    <w:rsid w:val="00565334"/>
    <w:rsid w:val="00565C1F"/>
    <w:rsid w:val="00567677"/>
    <w:rsid w:val="005677A8"/>
    <w:rsid w:val="00570E78"/>
    <w:rsid w:val="005721A2"/>
    <w:rsid w:val="00573DAD"/>
    <w:rsid w:val="0057421F"/>
    <w:rsid w:val="00577BA8"/>
    <w:rsid w:val="0058058E"/>
    <w:rsid w:val="0058753A"/>
    <w:rsid w:val="005918FF"/>
    <w:rsid w:val="00591F7A"/>
    <w:rsid w:val="005957FF"/>
    <w:rsid w:val="00596145"/>
    <w:rsid w:val="00596648"/>
    <w:rsid w:val="00596968"/>
    <w:rsid w:val="00596B64"/>
    <w:rsid w:val="005977E4"/>
    <w:rsid w:val="005A09E9"/>
    <w:rsid w:val="005A453D"/>
    <w:rsid w:val="005A4544"/>
    <w:rsid w:val="005A68AB"/>
    <w:rsid w:val="005A7565"/>
    <w:rsid w:val="005B0461"/>
    <w:rsid w:val="005B2D2F"/>
    <w:rsid w:val="005B67E9"/>
    <w:rsid w:val="005B68FD"/>
    <w:rsid w:val="005B7BCB"/>
    <w:rsid w:val="005C0513"/>
    <w:rsid w:val="005C06A7"/>
    <w:rsid w:val="005C0D0A"/>
    <w:rsid w:val="005C1361"/>
    <w:rsid w:val="005C1BA7"/>
    <w:rsid w:val="005C69EE"/>
    <w:rsid w:val="005D043B"/>
    <w:rsid w:val="005D2294"/>
    <w:rsid w:val="005D22E5"/>
    <w:rsid w:val="005D4D4C"/>
    <w:rsid w:val="005D5994"/>
    <w:rsid w:val="005D73F3"/>
    <w:rsid w:val="005E068B"/>
    <w:rsid w:val="005E09E0"/>
    <w:rsid w:val="005E5778"/>
    <w:rsid w:val="005F30EB"/>
    <w:rsid w:val="005F35E6"/>
    <w:rsid w:val="005F3FBB"/>
    <w:rsid w:val="005F4F99"/>
    <w:rsid w:val="005F6AC0"/>
    <w:rsid w:val="005F7F3B"/>
    <w:rsid w:val="00600AFD"/>
    <w:rsid w:val="00601E48"/>
    <w:rsid w:val="00605569"/>
    <w:rsid w:val="00606DFC"/>
    <w:rsid w:val="00607D87"/>
    <w:rsid w:val="00616C87"/>
    <w:rsid w:val="00617D4A"/>
    <w:rsid w:val="00622162"/>
    <w:rsid w:val="006231BC"/>
    <w:rsid w:val="00625972"/>
    <w:rsid w:val="00626F16"/>
    <w:rsid w:val="006310FA"/>
    <w:rsid w:val="00631144"/>
    <w:rsid w:val="00632D14"/>
    <w:rsid w:val="00633389"/>
    <w:rsid w:val="00635833"/>
    <w:rsid w:val="00636E3F"/>
    <w:rsid w:val="006423CA"/>
    <w:rsid w:val="0064501E"/>
    <w:rsid w:val="0064575C"/>
    <w:rsid w:val="0064753D"/>
    <w:rsid w:val="00653381"/>
    <w:rsid w:val="00661B0E"/>
    <w:rsid w:val="00663244"/>
    <w:rsid w:val="00664E28"/>
    <w:rsid w:val="00665015"/>
    <w:rsid w:val="00665B6A"/>
    <w:rsid w:val="00666128"/>
    <w:rsid w:val="00666341"/>
    <w:rsid w:val="006701B5"/>
    <w:rsid w:val="0067142B"/>
    <w:rsid w:val="00672A5F"/>
    <w:rsid w:val="0067362F"/>
    <w:rsid w:val="00674278"/>
    <w:rsid w:val="006773F7"/>
    <w:rsid w:val="006805DA"/>
    <w:rsid w:val="00680BC9"/>
    <w:rsid w:val="00681EE1"/>
    <w:rsid w:val="00683381"/>
    <w:rsid w:val="00685FC6"/>
    <w:rsid w:val="00686B8E"/>
    <w:rsid w:val="00690D84"/>
    <w:rsid w:val="00691F16"/>
    <w:rsid w:val="00696C84"/>
    <w:rsid w:val="0069716C"/>
    <w:rsid w:val="006971B4"/>
    <w:rsid w:val="006A3CCE"/>
    <w:rsid w:val="006A48EE"/>
    <w:rsid w:val="006A5C86"/>
    <w:rsid w:val="006A750B"/>
    <w:rsid w:val="006A7CD2"/>
    <w:rsid w:val="006B25CC"/>
    <w:rsid w:val="006B276D"/>
    <w:rsid w:val="006B28C8"/>
    <w:rsid w:val="006B62D3"/>
    <w:rsid w:val="006B7C27"/>
    <w:rsid w:val="006C13EC"/>
    <w:rsid w:val="006C2740"/>
    <w:rsid w:val="006C2C26"/>
    <w:rsid w:val="006C6C69"/>
    <w:rsid w:val="006C70EC"/>
    <w:rsid w:val="006D1DEB"/>
    <w:rsid w:val="006D6B37"/>
    <w:rsid w:val="006D773A"/>
    <w:rsid w:val="006E37E2"/>
    <w:rsid w:val="006E42BF"/>
    <w:rsid w:val="006E4355"/>
    <w:rsid w:val="006E4A86"/>
    <w:rsid w:val="006E4BFB"/>
    <w:rsid w:val="006E50C8"/>
    <w:rsid w:val="006E6210"/>
    <w:rsid w:val="006E775A"/>
    <w:rsid w:val="006E78E2"/>
    <w:rsid w:val="006F2107"/>
    <w:rsid w:val="006F3A36"/>
    <w:rsid w:val="006F41FB"/>
    <w:rsid w:val="006F6258"/>
    <w:rsid w:val="006F6544"/>
    <w:rsid w:val="007009D2"/>
    <w:rsid w:val="00701D9A"/>
    <w:rsid w:val="00704011"/>
    <w:rsid w:val="00704670"/>
    <w:rsid w:val="0070543C"/>
    <w:rsid w:val="007076F1"/>
    <w:rsid w:val="00710ACE"/>
    <w:rsid w:val="00710F5A"/>
    <w:rsid w:val="0071301D"/>
    <w:rsid w:val="00713562"/>
    <w:rsid w:val="00714653"/>
    <w:rsid w:val="007149D2"/>
    <w:rsid w:val="007155E4"/>
    <w:rsid w:val="007159BF"/>
    <w:rsid w:val="00715B15"/>
    <w:rsid w:val="00716B89"/>
    <w:rsid w:val="00716FE6"/>
    <w:rsid w:val="0071753A"/>
    <w:rsid w:val="007214A1"/>
    <w:rsid w:val="00722259"/>
    <w:rsid w:val="007235F8"/>
    <w:rsid w:val="00724A32"/>
    <w:rsid w:val="00725018"/>
    <w:rsid w:val="00726633"/>
    <w:rsid w:val="00732903"/>
    <w:rsid w:val="00733F4E"/>
    <w:rsid w:val="00733FE1"/>
    <w:rsid w:val="00734C8F"/>
    <w:rsid w:val="0073705F"/>
    <w:rsid w:val="0074166B"/>
    <w:rsid w:val="00744652"/>
    <w:rsid w:val="007506C3"/>
    <w:rsid w:val="00751DCE"/>
    <w:rsid w:val="00753793"/>
    <w:rsid w:val="007577CE"/>
    <w:rsid w:val="00760B09"/>
    <w:rsid w:val="007616CD"/>
    <w:rsid w:val="0076407E"/>
    <w:rsid w:val="00765066"/>
    <w:rsid w:val="007721E7"/>
    <w:rsid w:val="0077229A"/>
    <w:rsid w:val="00774568"/>
    <w:rsid w:val="0077502E"/>
    <w:rsid w:val="007763CE"/>
    <w:rsid w:val="007764F8"/>
    <w:rsid w:val="00776735"/>
    <w:rsid w:val="00780F35"/>
    <w:rsid w:val="007818F4"/>
    <w:rsid w:val="00781CA3"/>
    <w:rsid w:val="007834C6"/>
    <w:rsid w:val="00784357"/>
    <w:rsid w:val="00786F5B"/>
    <w:rsid w:val="007878DB"/>
    <w:rsid w:val="00787A09"/>
    <w:rsid w:val="0079141B"/>
    <w:rsid w:val="0079441D"/>
    <w:rsid w:val="0079455C"/>
    <w:rsid w:val="0079649D"/>
    <w:rsid w:val="007A02F0"/>
    <w:rsid w:val="007A0839"/>
    <w:rsid w:val="007A600D"/>
    <w:rsid w:val="007A6868"/>
    <w:rsid w:val="007A7FB2"/>
    <w:rsid w:val="007B125F"/>
    <w:rsid w:val="007B5947"/>
    <w:rsid w:val="007B5DFE"/>
    <w:rsid w:val="007B71D8"/>
    <w:rsid w:val="007B744C"/>
    <w:rsid w:val="007B7BA5"/>
    <w:rsid w:val="007C197A"/>
    <w:rsid w:val="007C46A2"/>
    <w:rsid w:val="007C6869"/>
    <w:rsid w:val="007C6DF0"/>
    <w:rsid w:val="007C7A35"/>
    <w:rsid w:val="007D00C4"/>
    <w:rsid w:val="007D018E"/>
    <w:rsid w:val="007D358E"/>
    <w:rsid w:val="007D40B8"/>
    <w:rsid w:val="007D6BF8"/>
    <w:rsid w:val="007E040D"/>
    <w:rsid w:val="007E0565"/>
    <w:rsid w:val="007E28CC"/>
    <w:rsid w:val="007E3A83"/>
    <w:rsid w:val="007E4304"/>
    <w:rsid w:val="007E4D0B"/>
    <w:rsid w:val="007E677F"/>
    <w:rsid w:val="007E738D"/>
    <w:rsid w:val="007F0BF8"/>
    <w:rsid w:val="007F0D41"/>
    <w:rsid w:val="007F43A2"/>
    <w:rsid w:val="007F6481"/>
    <w:rsid w:val="007F6876"/>
    <w:rsid w:val="007F7E8E"/>
    <w:rsid w:val="008008BB"/>
    <w:rsid w:val="00801D9C"/>
    <w:rsid w:val="0080263D"/>
    <w:rsid w:val="00802876"/>
    <w:rsid w:val="00803F83"/>
    <w:rsid w:val="008043EB"/>
    <w:rsid w:val="008047F7"/>
    <w:rsid w:val="00804BF4"/>
    <w:rsid w:val="008076AB"/>
    <w:rsid w:val="008107FD"/>
    <w:rsid w:val="008127ED"/>
    <w:rsid w:val="00812D56"/>
    <w:rsid w:val="00814E89"/>
    <w:rsid w:val="008166BF"/>
    <w:rsid w:val="00817BBC"/>
    <w:rsid w:val="00817EFE"/>
    <w:rsid w:val="00820C73"/>
    <w:rsid w:val="00830F2C"/>
    <w:rsid w:val="008336CB"/>
    <w:rsid w:val="00835046"/>
    <w:rsid w:val="0083585F"/>
    <w:rsid w:val="00836BA2"/>
    <w:rsid w:val="0083746C"/>
    <w:rsid w:val="00837D30"/>
    <w:rsid w:val="0084141C"/>
    <w:rsid w:val="00844344"/>
    <w:rsid w:val="00846F5A"/>
    <w:rsid w:val="00847D78"/>
    <w:rsid w:val="00850333"/>
    <w:rsid w:val="008509A1"/>
    <w:rsid w:val="00851816"/>
    <w:rsid w:val="00852CF4"/>
    <w:rsid w:val="00854E1A"/>
    <w:rsid w:val="008575B6"/>
    <w:rsid w:val="0086003C"/>
    <w:rsid w:val="008609B4"/>
    <w:rsid w:val="00860A5E"/>
    <w:rsid w:val="008613F0"/>
    <w:rsid w:val="00872580"/>
    <w:rsid w:val="0087372F"/>
    <w:rsid w:val="0087381B"/>
    <w:rsid w:val="00873BCF"/>
    <w:rsid w:val="0087412A"/>
    <w:rsid w:val="00875F99"/>
    <w:rsid w:val="008762D5"/>
    <w:rsid w:val="00877FE3"/>
    <w:rsid w:val="00880B3A"/>
    <w:rsid w:val="00883E32"/>
    <w:rsid w:val="008854CA"/>
    <w:rsid w:val="00890ACD"/>
    <w:rsid w:val="00893693"/>
    <w:rsid w:val="00893ADA"/>
    <w:rsid w:val="008946CF"/>
    <w:rsid w:val="0089780E"/>
    <w:rsid w:val="008A1491"/>
    <w:rsid w:val="008A25AD"/>
    <w:rsid w:val="008A29B9"/>
    <w:rsid w:val="008A2A25"/>
    <w:rsid w:val="008A3BE6"/>
    <w:rsid w:val="008A3C29"/>
    <w:rsid w:val="008A42BF"/>
    <w:rsid w:val="008B1473"/>
    <w:rsid w:val="008B1664"/>
    <w:rsid w:val="008B1A6C"/>
    <w:rsid w:val="008B2F9D"/>
    <w:rsid w:val="008B302D"/>
    <w:rsid w:val="008B4824"/>
    <w:rsid w:val="008B5BC2"/>
    <w:rsid w:val="008B7BF4"/>
    <w:rsid w:val="008B7F8B"/>
    <w:rsid w:val="008C0FFB"/>
    <w:rsid w:val="008C5D62"/>
    <w:rsid w:val="008C62B1"/>
    <w:rsid w:val="008D107F"/>
    <w:rsid w:val="008D2233"/>
    <w:rsid w:val="008D3753"/>
    <w:rsid w:val="008D47CA"/>
    <w:rsid w:val="008D57BE"/>
    <w:rsid w:val="008D5990"/>
    <w:rsid w:val="008D66BC"/>
    <w:rsid w:val="008D7447"/>
    <w:rsid w:val="008E37D8"/>
    <w:rsid w:val="008E3C1E"/>
    <w:rsid w:val="008E3DDF"/>
    <w:rsid w:val="008E3EC7"/>
    <w:rsid w:val="008E4551"/>
    <w:rsid w:val="008E518E"/>
    <w:rsid w:val="008E62DB"/>
    <w:rsid w:val="008E6C86"/>
    <w:rsid w:val="008E71E1"/>
    <w:rsid w:val="008E740D"/>
    <w:rsid w:val="008F544D"/>
    <w:rsid w:val="008F5B0E"/>
    <w:rsid w:val="008F5CDB"/>
    <w:rsid w:val="0090025F"/>
    <w:rsid w:val="00900641"/>
    <w:rsid w:val="009006A9"/>
    <w:rsid w:val="00901B20"/>
    <w:rsid w:val="00903116"/>
    <w:rsid w:val="009038D2"/>
    <w:rsid w:val="00904241"/>
    <w:rsid w:val="00904DA8"/>
    <w:rsid w:val="00907A8A"/>
    <w:rsid w:val="009114A9"/>
    <w:rsid w:val="0091296D"/>
    <w:rsid w:val="00912AAA"/>
    <w:rsid w:val="00915522"/>
    <w:rsid w:val="00915BDC"/>
    <w:rsid w:val="00921050"/>
    <w:rsid w:val="00921628"/>
    <w:rsid w:val="00922AC0"/>
    <w:rsid w:val="009260CE"/>
    <w:rsid w:val="00926699"/>
    <w:rsid w:val="00927236"/>
    <w:rsid w:val="009305DC"/>
    <w:rsid w:val="00931E25"/>
    <w:rsid w:val="00932A21"/>
    <w:rsid w:val="00932E90"/>
    <w:rsid w:val="00933A2F"/>
    <w:rsid w:val="00933BFD"/>
    <w:rsid w:val="00933DD9"/>
    <w:rsid w:val="00935EAC"/>
    <w:rsid w:val="00936A0A"/>
    <w:rsid w:val="0093715F"/>
    <w:rsid w:val="00940791"/>
    <w:rsid w:val="009420C3"/>
    <w:rsid w:val="00946C68"/>
    <w:rsid w:val="00951E4D"/>
    <w:rsid w:val="00952F30"/>
    <w:rsid w:val="0095339D"/>
    <w:rsid w:val="009533C3"/>
    <w:rsid w:val="00953BFF"/>
    <w:rsid w:val="009557D4"/>
    <w:rsid w:val="009602EE"/>
    <w:rsid w:val="00961898"/>
    <w:rsid w:val="00961D95"/>
    <w:rsid w:val="009620EA"/>
    <w:rsid w:val="0096299F"/>
    <w:rsid w:val="0096499A"/>
    <w:rsid w:val="00966F3E"/>
    <w:rsid w:val="0096733D"/>
    <w:rsid w:val="00967619"/>
    <w:rsid w:val="00967EEC"/>
    <w:rsid w:val="00971975"/>
    <w:rsid w:val="00971DE5"/>
    <w:rsid w:val="0097218D"/>
    <w:rsid w:val="00973128"/>
    <w:rsid w:val="00973F63"/>
    <w:rsid w:val="00977D82"/>
    <w:rsid w:val="00980B35"/>
    <w:rsid w:val="0098257A"/>
    <w:rsid w:val="00982794"/>
    <w:rsid w:val="00982E73"/>
    <w:rsid w:val="009852D8"/>
    <w:rsid w:val="00992503"/>
    <w:rsid w:val="00995BCC"/>
    <w:rsid w:val="009972FF"/>
    <w:rsid w:val="00997D6C"/>
    <w:rsid w:val="009A1AA7"/>
    <w:rsid w:val="009A21F3"/>
    <w:rsid w:val="009A403C"/>
    <w:rsid w:val="009A4A7A"/>
    <w:rsid w:val="009A5725"/>
    <w:rsid w:val="009A59E8"/>
    <w:rsid w:val="009A60FE"/>
    <w:rsid w:val="009B39CE"/>
    <w:rsid w:val="009B434C"/>
    <w:rsid w:val="009B479B"/>
    <w:rsid w:val="009B528E"/>
    <w:rsid w:val="009B6BDE"/>
    <w:rsid w:val="009C3096"/>
    <w:rsid w:val="009C3874"/>
    <w:rsid w:val="009C4442"/>
    <w:rsid w:val="009C503C"/>
    <w:rsid w:val="009C55A1"/>
    <w:rsid w:val="009C694C"/>
    <w:rsid w:val="009D06E6"/>
    <w:rsid w:val="009D22DC"/>
    <w:rsid w:val="009D31AE"/>
    <w:rsid w:val="009D3203"/>
    <w:rsid w:val="009D4D6A"/>
    <w:rsid w:val="009D6431"/>
    <w:rsid w:val="009D6472"/>
    <w:rsid w:val="009D71AE"/>
    <w:rsid w:val="009E35D4"/>
    <w:rsid w:val="009E3CFC"/>
    <w:rsid w:val="009E69D3"/>
    <w:rsid w:val="009F19CE"/>
    <w:rsid w:val="009F1A21"/>
    <w:rsid w:val="009F3404"/>
    <w:rsid w:val="009F43BC"/>
    <w:rsid w:val="009F5ACB"/>
    <w:rsid w:val="009F60F9"/>
    <w:rsid w:val="009F622E"/>
    <w:rsid w:val="009F649D"/>
    <w:rsid w:val="009F6EDF"/>
    <w:rsid w:val="009F76C8"/>
    <w:rsid w:val="009F7B89"/>
    <w:rsid w:val="00A00C5F"/>
    <w:rsid w:val="00A02BF0"/>
    <w:rsid w:val="00A02DA4"/>
    <w:rsid w:val="00A02F92"/>
    <w:rsid w:val="00A04997"/>
    <w:rsid w:val="00A053A4"/>
    <w:rsid w:val="00A067E8"/>
    <w:rsid w:val="00A068F9"/>
    <w:rsid w:val="00A11B73"/>
    <w:rsid w:val="00A13AE0"/>
    <w:rsid w:val="00A152B0"/>
    <w:rsid w:val="00A17FEF"/>
    <w:rsid w:val="00A21225"/>
    <w:rsid w:val="00A23892"/>
    <w:rsid w:val="00A30FDB"/>
    <w:rsid w:val="00A310D6"/>
    <w:rsid w:val="00A31F2D"/>
    <w:rsid w:val="00A32357"/>
    <w:rsid w:val="00A32ED8"/>
    <w:rsid w:val="00A33B3E"/>
    <w:rsid w:val="00A3427A"/>
    <w:rsid w:val="00A34ADA"/>
    <w:rsid w:val="00A438FD"/>
    <w:rsid w:val="00A44434"/>
    <w:rsid w:val="00A44990"/>
    <w:rsid w:val="00A45814"/>
    <w:rsid w:val="00A45AAD"/>
    <w:rsid w:val="00A50419"/>
    <w:rsid w:val="00A505EC"/>
    <w:rsid w:val="00A51B21"/>
    <w:rsid w:val="00A52333"/>
    <w:rsid w:val="00A538FE"/>
    <w:rsid w:val="00A541F7"/>
    <w:rsid w:val="00A557D7"/>
    <w:rsid w:val="00A55F57"/>
    <w:rsid w:val="00A5734D"/>
    <w:rsid w:val="00A60CF8"/>
    <w:rsid w:val="00A637D8"/>
    <w:rsid w:val="00A65FBC"/>
    <w:rsid w:val="00A7051D"/>
    <w:rsid w:val="00A71097"/>
    <w:rsid w:val="00A713C3"/>
    <w:rsid w:val="00A715C2"/>
    <w:rsid w:val="00A74C59"/>
    <w:rsid w:val="00A76FF8"/>
    <w:rsid w:val="00A77177"/>
    <w:rsid w:val="00A77E5A"/>
    <w:rsid w:val="00A808B5"/>
    <w:rsid w:val="00A83295"/>
    <w:rsid w:val="00A835A1"/>
    <w:rsid w:val="00A839D9"/>
    <w:rsid w:val="00A83A9B"/>
    <w:rsid w:val="00A83DB9"/>
    <w:rsid w:val="00A862C9"/>
    <w:rsid w:val="00A91CD2"/>
    <w:rsid w:val="00A91F90"/>
    <w:rsid w:val="00A9306A"/>
    <w:rsid w:val="00A95714"/>
    <w:rsid w:val="00AA628F"/>
    <w:rsid w:val="00AA7CE4"/>
    <w:rsid w:val="00AB1348"/>
    <w:rsid w:val="00AB18AE"/>
    <w:rsid w:val="00AB497C"/>
    <w:rsid w:val="00AB5BC1"/>
    <w:rsid w:val="00AC03AE"/>
    <w:rsid w:val="00AC125D"/>
    <w:rsid w:val="00AC225C"/>
    <w:rsid w:val="00AC34BA"/>
    <w:rsid w:val="00AC3E96"/>
    <w:rsid w:val="00AD0557"/>
    <w:rsid w:val="00AD1613"/>
    <w:rsid w:val="00AD165C"/>
    <w:rsid w:val="00AD1AA2"/>
    <w:rsid w:val="00AD1ED8"/>
    <w:rsid w:val="00AD405F"/>
    <w:rsid w:val="00AD67BF"/>
    <w:rsid w:val="00AD7197"/>
    <w:rsid w:val="00AD7DC9"/>
    <w:rsid w:val="00AE0270"/>
    <w:rsid w:val="00AE1AA6"/>
    <w:rsid w:val="00AE2946"/>
    <w:rsid w:val="00AE345A"/>
    <w:rsid w:val="00AE3770"/>
    <w:rsid w:val="00AE47E5"/>
    <w:rsid w:val="00AF15ED"/>
    <w:rsid w:val="00AF1619"/>
    <w:rsid w:val="00AF28E7"/>
    <w:rsid w:val="00AF2A4F"/>
    <w:rsid w:val="00AF2C78"/>
    <w:rsid w:val="00AF536D"/>
    <w:rsid w:val="00B005CD"/>
    <w:rsid w:val="00B031AF"/>
    <w:rsid w:val="00B0504F"/>
    <w:rsid w:val="00B0559E"/>
    <w:rsid w:val="00B06ADF"/>
    <w:rsid w:val="00B11033"/>
    <w:rsid w:val="00B1461A"/>
    <w:rsid w:val="00B151C3"/>
    <w:rsid w:val="00B15FF0"/>
    <w:rsid w:val="00B1651C"/>
    <w:rsid w:val="00B16B7C"/>
    <w:rsid w:val="00B17DD3"/>
    <w:rsid w:val="00B20BFA"/>
    <w:rsid w:val="00B23A9C"/>
    <w:rsid w:val="00B24083"/>
    <w:rsid w:val="00B30A99"/>
    <w:rsid w:val="00B31039"/>
    <w:rsid w:val="00B32A1F"/>
    <w:rsid w:val="00B32EBD"/>
    <w:rsid w:val="00B4060B"/>
    <w:rsid w:val="00B422D9"/>
    <w:rsid w:val="00B42BE6"/>
    <w:rsid w:val="00B46E8B"/>
    <w:rsid w:val="00B50FCE"/>
    <w:rsid w:val="00B51C6F"/>
    <w:rsid w:val="00B520C3"/>
    <w:rsid w:val="00B52E4A"/>
    <w:rsid w:val="00B54009"/>
    <w:rsid w:val="00B56FB6"/>
    <w:rsid w:val="00B57C37"/>
    <w:rsid w:val="00B629CF"/>
    <w:rsid w:val="00B63A7D"/>
    <w:rsid w:val="00B644E8"/>
    <w:rsid w:val="00B67DF1"/>
    <w:rsid w:val="00B74288"/>
    <w:rsid w:val="00B74CFB"/>
    <w:rsid w:val="00B7755A"/>
    <w:rsid w:val="00B77A8D"/>
    <w:rsid w:val="00B804B0"/>
    <w:rsid w:val="00B81AE2"/>
    <w:rsid w:val="00B829A0"/>
    <w:rsid w:val="00B84870"/>
    <w:rsid w:val="00B84A00"/>
    <w:rsid w:val="00B8656B"/>
    <w:rsid w:val="00B866DF"/>
    <w:rsid w:val="00B90652"/>
    <w:rsid w:val="00B9498A"/>
    <w:rsid w:val="00B97753"/>
    <w:rsid w:val="00BA4E36"/>
    <w:rsid w:val="00BB0A9F"/>
    <w:rsid w:val="00BB1728"/>
    <w:rsid w:val="00BB21EE"/>
    <w:rsid w:val="00BB2833"/>
    <w:rsid w:val="00BB3563"/>
    <w:rsid w:val="00BB5A87"/>
    <w:rsid w:val="00BC0C16"/>
    <w:rsid w:val="00BC0ECE"/>
    <w:rsid w:val="00BC3AF6"/>
    <w:rsid w:val="00BC40BE"/>
    <w:rsid w:val="00BC4D45"/>
    <w:rsid w:val="00BC5A9B"/>
    <w:rsid w:val="00BC5FB9"/>
    <w:rsid w:val="00BC73FF"/>
    <w:rsid w:val="00BD1C63"/>
    <w:rsid w:val="00BD374D"/>
    <w:rsid w:val="00BD47BF"/>
    <w:rsid w:val="00BD68FC"/>
    <w:rsid w:val="00BD6BEB"/>
    <w:rsid w:val="00BD7A0B"/>
    <w:rsid w:val="00BD7DEF"/>
    <w:rsid w:val="00BE0B9C"/>
    <w:rsid w:val="00BE293E"/>
    <w:rsid w:val="00BE4330"/>
    <w:rsid w:val="00BE4ED6"/>
    <w:rsid w:val="00BE5D8A"/>
    <w:rsid w:val="00BE77C7"/>
    <w:rsid w:val="00BF234D"/>
    <w:rsid w:val="00BF3EAF"/>
    <w:rsid w:val="00BF69DA"/>
    <w:rsid w:val="00BF7045"/>
    <w:rsid w:val="00C00562"/>
    <w:rsid w:val="00C026B7"/>
    <w:rsid w:val="00C05680"/>
    <w:rsid w:val="00C0572C"/>
    <w:rsid w:val="00C06C9C"/>
    <w:rsid w:val="00C0751B"/>
    <w:rsid w:val="00C07902"/>
    <w:rsid w:val="00C10705"/>
    <w:rsid w:val="00C10EB1"/>
    <w:rsid w:val="00C1117C"/>
    <w:rsid w:val="00C12666"/>
    <w:rsid w:val="00C14991"/>
    <w:rsid w:val="00C15CB7"/>
    <w:rsid w:val="00C17821"/>
    <w:rsid w:val="00C20FC8"/>
    <w:rsid w:val="00C23F7A"/>
    <w:rsid w:val="00C253F2"/>
    <w:rsid w:val="00C27850"/>
    <w:rsid w:val="00C3107F"/>
    <w:rsid w:val="00C32021"/>
    <w:rsid w:val="00C325C9"/>
    <w:rsid w:val="00C3275D"/>
    <w:rsid w:val="00C327C9"/>
    <w:rsid w:val="00C334E5"/>
    <w:rsid w:val="00C350BD"/>
    <w:rsid w:val="00C37BBB"/>
    <w:rsid w:val="00C40C07"/>
    <w:rsid w:val="00C4244E"/>
    <w:rsid w:val="00C434F2"/>
    <w:rsid w:val="00C43C68"/>
    <w:rsid w:val="00C469E1"/>
    <w:rsid w:val="00C47BA6"/>
    <w:rsid w:val="00C514FA"/>
    <w:rsid w:val="00C5447C"/>
    <w:rsid w:val="00C558E1"/>
    <w:rsid w:val="00C57016"/>
    <w:rsid w:val="00C57299"/>
    <w:rsid w:val="00C60C04"/>
    <w:rsid w:val="00C62197"/>
    <w:rsid w:val="00C64901"/>
    <w:rsid w:val="00C65A64"/>
    <w:rsid w:val="00C66BC4"/>
    <w:rsid w:val="00C71B3D"/>
    <w:rsid w:val="00C7249B"/>
    <w:rsid w:val="00C72CD5"/>
    <w:rsid w:val="00C7589F"/>
    <w:rsid w:val="00C7698B"/>
    <w:rsid w:val="00C80B93"/>
    <w:rsid w:val="00C81569"/>
    <w:rsid w:val="00C819D6"/>
    <w:rsid w:val="00C83910"/>
    <w:rsid w:val="00C843B4"/>
    <w:rsid w:val="00C850F6"/>
    <w:rsid w:val="00C86948"/>
    <w:rsid w:val="00C90831"/>
    <w:rsid w:val="00C90BC0"/>
    <w:rsid w:val="00C91D23"/>
    <w:rsid w:val="00C95655"/>
    <w:rsid w:val="00C96ABA"/>
    <w:rsid w:val="00CA077E"/>
    <w:rsid w:val="00CA19D2"/>
    <w:rsid w:val="00CA1F81"/>
    <w:rsid w:val="00CA4138"/>
    <w:rsid w:val="00CA7C6A"/>
    <w:rsid w:val="00CB161E"/>
    <w:rsid w:val="00CB2C18"/>
    <w:rsid w:val="00CB49AC"/>
    <w:rsid w:val="00CB582D"/>
    <w:rsid w:val="00CB58DB"/>
    <w:rsid w:val="00CC01DE"/>
    <w:rsid w:val="00CC287E"/>
    <w:rsid w:val="00CC5281"/>
    <w:rsid w:val="00CD0ACD"/>
    <w:rsid w:val="00CD1C15"/>
    <w:rsid w:val="00CD1D61"/>
    <w:rsid w:val="00CD2239"/>
    <w:rsid w:val="00CD7799"/>
    <w:rsid w:val="00CE0366"/>
    <w:rsid w:val="00CE1280"/>
    <w:rsid w:val="00CE2E08"/>
    <w:rsid w:val="00CE3810"/>
    <w:rsid w:val="00CE63B1"/>
    <w:rsid w:val="00CE7105"/>
    <w:rsid w:val="00CE7406"/>
    <w:rsid w:val="00CF0296"/>
    <w:rsid w:val="00CF1877"/>
    <w:rsid w:val="00CF18BF"/>
    <w:rsid w:val="00CF26C3"/>
    <w:rsid w:val="00CF329D"/>
    <w:rsid w:val="00CF3865"/>
    <w:rsid w:val="00CF5137"/>
    <w:rsid w:val="00CF5D3A"/>
    <w:rsid w:val="00CF6EFB"/>
    <w:rsid w:val="00D05772"/>
    <w:rsid w:val="00D07D56"/>
    <w:rsid w:val="00D119C8"/>
    <w:rsid w:val="00D135F4"/>
    <w:rsid w:val="00D13C81"/>
    <w:rsid w:val="00D15A52"/>
    <w:rsid w:val="00D1645D"/>
    <w:rsid w:val="00D17089"/>
    <w:rsid w:val="00D24E8E"/>
    <w:rsid w:val="00D250CD"/>
    <w:rsid w:val="00D259F7"/>
    <w:rsid w:val="00D278E7"/>
    <w:rsid w:val="00D27BB1"/>
    <w:rsid w:val="00D3054F"/>
    <w:rsid w:val="00D31632"/>
    <w:rsid w:val="00D31BFD"/>
    <w:rsid w:val="00D32160"/>
    <w:rsid w:val="00D40A03"/>
    <w:rsid w:val="00D43313"/>
    <w:rsid w:val="00D43F49"/>
    <w:rsid w:val="00D4636E"/>
    <w:rsid w:val="00D511B1"/>
    <w:rsid w:val="00D51C70"/>
    <w:rsid w:val="00D522B2"/>
    <w:rsid w:val="00D53446"/>
    <w:rsid w:val="00D55C4E"/>
    <w:rsid w:val="00D601EB"/>
    <w:rsid w:val="00D618B6"/>
    <w:rsid w:val="00D61E3D"/>
    <w:rsid w:val="00D62609"/>
    <w:rsid w:val="00D65352"/>
    <w:rsid w:val="00D71138"/>
    <w:rsid w:val="00D735DC"/>
    <w:rsid w:val="00D75181"/>
    <w:rsid w:val="00D751EA"/>
    <w:rsid w:val="00D760B3"/>
    <w:rsid w:val="00D803A1"/>
    <w:rsid w:val="00D82EAB"/>
    <w:rsid w:val="00D84150"/>
    <w:rsid w:val="00D86DA8"/>
    <w:rsid w:val="00D903C0"/>
    <w:rsid w:val="00D9261F"/>
    <w:rsid w:val="00D94795"/>
    <w:rsid w:val="00DA35EF"/>
    <w:rsid w:val="00DA4D99"/>
    <w:rsid w:val="00DA51A6"/>
    <w:rsid w:val="00DA5A4A"/>
    <w:rsid w:val="00DA6186"/>
    <w:rsid w:val="00DB20F1"/>
    <w:rsid w:val="00DB372B"/>
    <w:rsid w:val="00DB4C6F"/>
    <w:rsid w:val="00DB5592"/>
    <w:rsid w:val="00DB6DEB"/>
    <w:rsid w:val="00DC0DE7"/>
    <w:rsid w:val="00DC1C07"/>
    <w:rsid w:val="00DC34CD"/>
    <w:rsid w:val="00DC46B4"/>
    <w:rsid w:val="00DC5EEA"/>
    <w:rsid w:val="00DC61EC"/>
    <w:rsid w:val="00DC68E1"/>
    <w:rsid w:val="00DC722A"/>
    <w:rsid w:val="00DD00DC"/>
    <w:rsid w:val="00DD02FE"/>
    <w:rsid w:val="00DD1AFE"/>
    <w:rsid w:val="00DD33A3"/>
    <w:rsid w:val="00DD3481"/>
    <w:rsid w:val="00DD35C4"/>
    <w:rsid w:val="00DD37E1"/>
    <w:rsid w:val="00DD38B8"/>
    <w:rsid w:val="00DD544B"/>
    <w:rsid w:val="00DD6573"/>
    <w:rsid w:val="00DD7D71"/>
    <w:rsid w:val="00DE07CE"/>
    <w:rsid w:val="00DE0EBE"/>
    <w:rsid w:val="00DE2036"/>
    <w:rsid w:val="00DE7BBD"/>
    <w:rsid w:val="00DF0230"/>
    <w:rsid w:val="00DF3271"/>
    <w:rsid w:val="00DF3584"/>
    <w:rsid w:val="00DF3BD5"/>
    <w:rsid w:val="00DF4B35"/>
    <w:rsid w:val="00E0051D"/>
    <w:rsid w:val="00E007DD"/>
    <w:rsid w:val="00E01349"/>
    <w:rsid w:val="00E07605"/>
    <w:rsid w:val="00E10900"/>
    <w:rsid w:val="00E13608"/>
    <w:rsid w:val="00E1430B"/>
    <w:rsid w:val="00E14B64"/>
    <w:rsid w:val="00E15ED7"/>
    <w:rsid w:val="00E2029E"/>
    <w:rsid w:val="00E20380"/>
    <w:rsid w:val="00E21BF2"/>
    <w:rsid w:val="00E22B34"/>
    <w:rsid w:val="00E24D6C"/>
    <w:rsid w:val="00E2656D"/>
    <w:rsid w:val="00E26FF3"/>
    <w:rsid w:val="00E3039E"/>
    <w:rsid w:val="00E30B50"/>
    <w:rsid w:val="00E32EA7"/>
    <w:rsid w:val="00E3595C"/>
    <w:rsid w:val="00E367D4"/>
    <w:rsid w:val="00E379E9"/>
    <w:rsid w:val="00E410BE"/>
    <w:rsid w:val="00E42267"/>
    <w:rsid w:val="00E461E7"/>
    <w:rsid w:val="00E46507"/>
    <w:rsid w:val="00E474DE"/>
    <w:rsid w:val="00E47991"/>
    <w:rsid w:val="00E51D7C"/>
    <w:rsid w:val="00E53174"/>
    <w:rsid w:val="00E55026"/>
    <w:rsid w:val="00E60505"/>
    <w:rsid w:val="00E6097B"/>
    <w:rsid w:val="00E61117"/>
    <w:rsid w:val="00E65405"/>
    <w:rsid w:val="00E66A64"/>
    <w:rsid w:val="00E72CA7"/>
    <w:rsid w:val="00E73582"/>
    <w:rsid w:val="00E7386C"/>
    <w:rsid w:val="00E74163"/>
    <w:rsid w:val="00E75D24"/>
    <w:rsid w:val="00E77754"/>
    <w:rsid w:val="00E77EB2"/>
    <w:rsid w:val="00E80C0F"/>
    <w:rsid w:val="00E819BF"/>
    <w:rsid w:val="00E81AE6"/>
    <w:rsid w:val="00E81E94"/>
    <w:rsid w:val="00E83C32"/>
    <w:rsid w:val="00E860F6"/>
    <w:rsid w:val="00E86D66"/>
    <w:rsid w:val="00E87836"/>
    <w:rsid w:val="00E87DA6"/>
    <w:rsid w:val="00E905D2"/>
    <w:rsid w:val="00E90E9A"/>
    <w:rsid w:val="00E9104E"/>
    <w:rsid w:val="00E9144A"/>
    <w:rsid w:val="00E92A09"/>
    <w:rsid w:val="00E94DBA"/>
    <w:rsid w:val="00E96472"/>
    <w:rsid w:val="00E9679E"/>
    <w:rsid w:val="00E967FD"/>
    <w:rsid w:val="00EA17B0"/>
    <w:rsid w:val="00EA1EBB"/>
    <w:rsid w:val="00EA207C"/>
    <w:rsid w:val="00EA32E1"/>
    <w:rsid w:val="00EA3A22"/>
    <w:rsid w:val="00EA45BC"/>
    <w:rsid w:val="00EA567A"/>
    <w:rsid w:val="00EA5981"/>
    <w:rsid w:val="00EA6652"/>
    <w:rsid w:val="00EA70BF"/>
    <w:rsid w:val="00EA77EE"/>
    <w:rsid w:val="00EB134E"/>
    <w:rsid w:val="00EB3FB6"/>
    <w:rsid w:val="00EB57B0"/>
    <w:rsid w:val="00EB6E43"/>
    <w:rsid w:val="00EB7712"/>
    <w:rsid w:val="00EC1032"/>
    <w:rsid w:val="00EC18A8"/>
    <w:rsid w:val="00EC233D"/>
    <w:rsid w:val="00EC297F"/>
    <w:rsid w:val="00EC5311"/>
    <w:rsid w:val="00EC6914"/>
    <w:rsid w:val="00ED22D3"/>
    <w:rsid w:val="00ED4390"/>
    <w:rsid w:val="00ED55FE"/>
    <w:rsid w:val="00ED6733"/>
    <w:rsid w:val="00ED6960"/>
    <w:rsid w:val="00ED7E0B"/>
    <w:rsid w:val="00EE0733"/>
    <w:rsid w:val="00EE45C3"/>
    <w:rsid w:val="00EE681F"/>
    <w:rsid w:val="00EF0619"/>
    <w:rsid w:val="00EF17E1"/>
    <w:rsid w:val="00EF1DA7"/>
    <w:rsid w:val="00EF2729"/>
    <w:rsid w:val="00EF27A2"/>
    <w:rsid w:val="00EF50A6"/>
    <w:rsid w:val="00EF54AC"/>
    <w:rsid w:val="00EF6800"/>
    <w:rsid w:val="00EF703C"/>
    <w:rsid w:val="00EF7F4E"/>
    <w:rsid w:val="00F01C66"/>
    <w:rsid w:val="00F05688"/>
    <w:rsid w:val="00F05E20"/>
    <w:rsid w:val="00F11B8D"/>
    <w:rsid w:val="00F15627"/>
    <w:rsid w:val="00F156E4"/>
    <w:rsid w:val="00F15C92"/>
    <w:rsid w:val="00F16537"/>
    <w:rsid w:val="00F16D7C"/>
    <w:rsid w:val="00F212CC"/>
    <w:rsid w:val="00F2142F"/>
    <w:rsid w:val="00F2319F"/>
    <w:rsid w:val="00F2742C"/>
    <w:rsid w:val="00F30B15"/>
    <w:rsid w:val="00F311E9"/>
    <w:rsid w:val="00F34DAD"/>
    <w:rsid w:val="00F359C9"/>
    <w:rsid w:val="00F411DA"/>
    <w:rsid w:val="00F41E7B"/>
    <w:rsid w:val="00F42ED0"/>
    <w:rsid w:val="00F43FC1"/>
    <w:rsid w:val="00F47F89"/>
    <w:rsid w:val="00F50E27"/>
    <w:rsid w:val="00F520AF"/>
    <w:rsid w:val="00F5317F"/>
    <w:rsid w:val="00F53B07"/>
    <w:rsid w:val="00F5567A"/>
    <w:rsid w:val="00F57050"/>
    <w:rsid w:val="00F6123B"/>
    <w:rsid w:val="00F6241D"/>
    <w:rsid w:val="00F626F0"/>
    <w:rsid w:val="00F62BD8"/>
    <w:rsid w:val="00F64252"/>
    <w:rsid w:val="00F67A21"/>
    <w:rsid w:val="00F67A41"/>
    <w:rsid w:val="00F702C4"/>
    <w:rsid w:val="00F708AD"/>
    <w:rsid w:val="00F76817"/>
    <w:rsid w:val="00F7755E"/>
    <w:rsid w:val="00F81F71"/>
    <w:rsid w:val="00F824DB"/>
    <w:rsid w:val="00F82B72"/>
    <w:rsid w:val="00F8366E"/>
    <w:rsid w:val="00F874FC"/>
    <w:rsid w:val="00F8797E"/>
    <w:rsid w:val="00F90B26"/>
    <w:rsid w:val="00F90C1C"/>
    <w:rsid w:val="00F91941"/>
    <w:rsid w:val="00F932CA"/>
    <w:rsid w:val="00F939E9"/>
    <w:rsid w:val="00F94B4E"/>
    <w:rsid w:val="00FA0161"/>
    <w:rsid w:val="00FA252A"/>
    <w:rsid w:val="00FA287D"/>
    <w:rsid w:val="00FA6681"/>
    <w:rsid w:val="00FA792D"/>
    <w:rsid w:val="00FB03B0"/>
    <w:rsid w:val="00FB3B6E"/>
    <w:rsid w:val="00FB413F"/>
    <w:rsid w:val="00FB5735"/>
    <w:rsid w:val="00FB620F"/>
    <w:rsid w:val="00FB6E31"/>
    <w:rsid w:val="00FB7073"/>
    <w:rsid w:val="00FC0209"/>
    <w:rsid w:val="00FC0301"/>
    <w:rsid w:val="00FC112A"/>
    <w:rsid w:val="00FC19EF"/>
    <w:rsid w:val="00FC223A"/>
    <w:rsid w:val="00FC5008"/>
    <w:rsid w:val="00FC56FE"/>
    <w:rsid w:val="00FC61CF"/>
    <w:rsid w:val="00FC7B68"/>
    <w:rsid w:val="00FD0531"/>
    <w:rsid w:val="00FD7EDB"/>
    <w:rsid w:val="00FE0D0C"/>
    <w:rsid w:val="00FE469E"/>
    <w:rsid w:val="00FF18F6"/>
    <w:rsid w:val="00FF36BD"/>
    <w:rsid w:val="00FF36F8"/>
    <w:rsid w:val="00FF4C9C"/>
    <w:rsid w:val="00FF66C2"/>
    <w:rsid w:val="00FF75C9"/>
    <w:rsid w:val="05F37BFD"/>
    <w:rsid w:val="0E745E31"/>
    <w:rsid w:val="121D6070"/>
    <w:rsid w:val="15CE0041"/>
    <w:rsid w:val="1A7BF579"/>
    <w:rsid w:val="1C02138F"/>
    <w:rsid w:val="1DB70722"/>
    <w:rsid w:val="2BED2443"/>
    <w:rsid w:val="2BFB2285"/>
    <w:rsid w:val="2E382097"/>
    <w:rsid w:val="336F4678"/>
    <w:rsid w:val="35E66CC3"/>
    <w:rsid w:val="3BBF2DBF"/>
    <w:rsid w:val="3E5524C8"/>
    <w:rsid w:val="3E9C7D27"/>
    <w:rsid w:val="3EFF48C1"/>
    <w:rsid w:val="3FD79A18"/>
    <w:rsid w:val="404E6E67"/>
    <w:rsid w:val="4BB7DB24"/>
    <w:rsid w:val="4C331546"/>
    <w:rsid w:val="4C358059"/>
    <w:rsid w:val="55C42CB3"/>
    <w:rsid w:val="57DB209B"/>
    <w:rsid w:val="5EBE52A6"/>
    <w:rsid w:val="5EE451C5"/>
    <w:rsid w:val="5FEDC922"/>
    <w:rsid w:val="630A63CD"/>
    <w:rsid w:val="66FFEF5C"/>
    <w:rsid w:val="69116AF7"/>
    <w:rsid w:val="69C549B7"/>
    <w:rsid w:val="6A2E5545"/>
    <w:rsid w:val="6B4A0F0A"/>
    <w:rsid w:val="6EBB26AC"/>
    <w:rsid w:val="70DA3F6E"/>
    <w:rsid w:val="737FAD5E"/>
    <w:rsid w:val="765F363C"/>
    <w:rsid w:val="767BA1B3"/>
    <w:rsid w:val="76A7E351"/>
    <w:rsid w:val="76BD867B"/>
    <w:rsid w:val="77752C4D"/>
    <w:rsid w:val="77DA2EC7"/>
    <w:rsid w:val="79E4BD58"/>
    <w:rsid w:val="7B068CBA"/>
    <w:rsid w:val="7B1CF82B"/>
    <w:rsid w:val="7BBDB209"/>
    <w:rsid w:val="7CBF28EB"/>
    <w:rsid w:val="7D5B2E87"/>
    <w:rsid w:val="7DB7E37D"/>
    <w:rsid w:val="7F645069"/>
    <w:rsid w:val="7F6F38D0"/>
    <w:rsid w:val="8ED93B5E"/>
    <w:rsid w:val="91FEDB4A"/>
    <w:rsid w:val="9B7DAF6B"/>
    <w:rsid w:val="BF7F0EEB"/>
    <w:rsid w:val="BF9604A8"/>
    <w:rsid w:val="BFBF0A64"/>
    <w:rsid w:val="D77BE41A"/>
    <w:rsid w:val="DACFFF5C"/>
    <w:rsid w:val="DEAF8DCC"/>
    <w:rsid w:val="DF574F27"/>
    <w:rsid w:val="DFD6DA42"/>
    <w:rsid w:val="E7BFC75F"/>
    <w:rsid w:val="E7EFDD40"/>
    <w:rsid w:val="EBADAE5E"/>
    <w:rsid w:val="F68F62B3"/>
    <w:rsid w:val="F9EE4092"/>
    <w:rsid w:val="FB7F9FF3"/>
    <w:rsid w:val="FBE65C13"/>
    <w:rsid w:val="FBFD1B5E"/>
    <w:rsid w:val="FD7F7586"/>
    <w:rsid w:val="FE7F0207"/>
    <w:rsid w:val="FFAB75AD"/>
    <w:rsid w:val="FFAD653D"/>
    <w:rsid w:val="FFEF2E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adjustRightInd w:val="0"/>
      <w:jc w:val="distribute"/>
      <w:outlineLvl w:val="0"/>
    </w:pPr>
    <w:rPr>
      <w:rFonts w:eastAsia="公文小标宋简"/>
      <w:b/>
      <w:vanish/>
      <w:color w:val="FF0000"/>
      <w:kern w:val="44"/>
      <w:sz w:val="48"/>
    </w:rPr>
  </w:style>
  <w:style w:type="paragraph" w:styleId="3">
    <w:name w:val="heading 2"/>
    <w:basedOn w:val="1"/>
    <w:next w:val="4"/>
    <w:semiHidden/>
    <w:unhideWhenUsed/>
    <w:qFormat/>
    <w:uiPriority w:val="0"/>
    <w:pPr>
      <w:keepNext/>
      <w:keepLines/>
      <w:spacing w:before="260" w:after="260" w:line="416" w:lineRule="auto"/>
      <w:outlineLvl w:val="1"/>
    </w:pPr>
    <w:rPr>
      <w:rFonts w:ascii="Arial" w:hAnsi="Arial" w:eastAsia="黑体"/>
      <w:b/>
    </w:rPr>
  </w:style>
  <w:style w:type="paragraph" w:styleId="5">
    <w:name w:val="heading 3"/>
    <w:basedOn w:val="1"/>
    <w:next w:val="4"/>
    <w:semiHidden/>
    <w:unhideWhenUsed/>
    <w:qFormat/>
    <w:uiPriority w:val="0"/>
    <w:pPr>
      <w:keepNext/>
      <w:keepLines/>
      <w:spacing w:before="1000" w:after="400"/>
      <w:jc w:val="center"/>
      <w:outlineLvl w:val="2"/>
    </w:pPr>
    <w:rPr>
      <w:rFonts w:ascii="公文小标宋简" w:eastAsia="公文小标宋简"/>
      <w:sz w:val="4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630"/>
    </w:pPr>
    <w:rPr>
      <w:kern w:val="0"/>
    </w:rPr>
  </w:style>
  <w:style w:type="paragraph" w:styleId="6">
    <w:name w:val="Document Map"/>
    <w:basedOn w:val="1"/>
    <w:qFormat/>
    <w:uiPriority w:val="0"/>
    <w:pPr>
      <w:shd w:val="clear" w:color="auto" w:fill="000080"/>
    </w:pPr>
  </w:style>
  <w:style w:type="paragraph" w:styleId="7">
    <w:name w:val="Closing"/>
    <w:basedOn w:val="1"/>
    <w:qFormat/>
    <w:uiPriority w:val="0"/>
    <w:pPr>
      <w:ind w:left="100" w:leftChars="2100"/>
    </w:pPr>
  </w:style>
  <w:style w:type="paragraph" w:styleId="8">
    <w:name w:val="Body Text"/>
    <w:basedOn w:val="1"/>
    <w:link w:val="35"/>
    <w:qFormat/>
    <w:uiPriority w:val="0"/>
    <w:rPr>
      <w:rFonts w:eastAsia="黑体"/>
      <w:sz w:val="28"/>
    </w:rPr>
  </w:style>
  <w:style w:type="paragraph" w:styleId="9">
    <w:name w:val="Body Text Indent"/>
    <w:basedOn w:val="1"/>
    <w:next w:val="1"/>
    <w:link w:val="36"/>
    <w:qFormat/>
    <w:uiPriority w:val="0"/>
    <w:pPr>
      <w:spacing w:line="600" w:lineRule="exact"/>
      <w:ind w:firstLine="630"/>
    </w:pPr>
    <w:rPr>
      <w:rFonts w:eastAsia="黑体"/>
      <w:szCs w:val="24"/>
    </w:rPr>
  </w:style>
  <w:style w:type="paragraph" w:styleId="10">
    <w:name w:val="List 2"/>
    <w:basedOn w:val="1"/>
    <w:qFormat/>
    <w:uiPriority w:val="0"/>
    <w:pPr>
      <w:ind w:left="100" w:leftChars="200" w:hanging="200" w:hangingChars="200"/>
    </w:pPr>
    <w:rPr>
      <w:rFonts w:eastAsia="宋体"/>
      <w:sz w:val="21"/>
      <w:szCs w:val="24"/>
    </w:rPr>
  </w:style>
  <w:style w:type="paragraph" w:styleId="11">
    <w:name w:val="Date"/>
    <w:basedOn w:val="1"/>
    <w:next w:val="1"/>
    <w:qFormat/>
    <w:uiPriority w:val="0"/>
  </w:style>
  <w:style w:type="paragraph" w:styleId="12">
    <w:name w:val="Body Text Indent 2"/>
    <w:basedOn w:val="1"/>
    <w:qFormat/>
    <w:uiPriority w:val="0"/>
    <w:pPr>
      <w:spacing w:line="540" w:lineRule="exact"/>
      <w:ind w:firstLine="622" w:firstLineChars="200"/>
    </w:pPr>
    <w:rPr>
      <w:rFonts w:ascii="仿宋_GB2312"/>
      <w:szCs w:val="30"/>
    </w:rPr>
  </w:style>
  <w:style w:type="paragraph" w:styleId="13">
    <w:name w:val="Balloon Text"/>
    <w:basedOn w:val="1"/>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rFonts w:eastAsia="仿宋_GB2312"/>
      <w:sz w:val="18"/>
    </w:rPr>
  </w:style>
  <w:style w:type="paragraph" w:styleId="15">
    <w:name w:val="header"/>
    <w:basedOn w:val="1"/>
    <w:qFormat/>
    <w:uiPriority w:val="0"/>
    <w:pPr>
      <w:tabs>
        <w:tab w:val="center" w:pos="4153"/>
        <w:tab w:val="right" w:pos="8306"/>
      </w:tabs>
      <w:snapToGrid w:val="0"/>
      <w:jc w:val="center"/>
    </w:pPr>
    <w:rPr>
      <w:sz w:val="18"/>
    </w:rPr>
  </w:style>
  <w:style w:type="paragraph" w:styleId="16">
    <w:name w:val="Subtitle"/>
    <w:basedOn w:val="1"/>
    <w:next w:val="1"/>
    <w:link w:val="31"/>
    <w:qFormat/>
    <w:uiPriority w:val="0"/>
    <w:pPr>
      <w:spacing w:before="240" w:after="60" w:line="312" w:lineRule="auto"/>
      <w:jc w:val="center"/>
    </w:pPr>
    <w:rPr>
      <w:rFonts w:ascii="楷体_GB2312" w:hAnsi="楷体_GB2312" w:eastAsia="楷体_GB2312"/>
      <w:bCs/>
      <w:kern w:val="28"/>
    </w:rPr>
  </w:style>
  <w:style w:type="paragraph" w:styleId="17">
    <w:name w:val="Body Text Indent 3"/>
    <w:basedOn w:val="1"/>
    <w:qFormat/>
    <w:uiPriority w:val="0"/>
    <w:pPr>
      <w:spacing w:line="1100" w:lineRule="exact"/>
      <w:ind w:firstLine="640" w:firstLineChars="200"/>
    </w:pPr>
    <w:rPr>
      <w:szCs w:val="32"/>
    </w:rPr>
  </w:style>
  <w:style w:type="paragraph" w:styleId="18">
    <w:name w:val="Body Text 2"/>
    <w:basedOn w:val="1"/>
    <w:qFormat/>
    <w:uiPriority w:val="0"/>
    <w:pPr>
      <w:spacing w:line="600" w:lineRule="exact"/>
      <w:jc w:val="center"/>
    </w:pPr>
    <w:rPr>
      <w:rFonts w:ascii="仿宋_GB2312"/>
      <w:kern w:val="0"/>
      <w:sz w:val="44"/>
      <w:szCs w:val="36"/>
    </w:rPr>
  </w:style>
  <w:style w:type="paragraph" w:styleId="19">
    <w:name w:val="Normal (Web)"/>
    <w:basedOn w:val="1"/>
    <w:qFormat/>
    <w:uiPriority w:val="0"/>
    <w:pPr>
      <w:widowControl/>
      <w:spacing w:before="100" w:beforeAutospacing="1" w:after="100" w:afterAutospacing="1"/>
      <w:jc w:val="left"/>
    </w:pPr>
    <w:rPr>
      <w:rFonts w:eastAsia="宋体"/>
      <w:kern w:val="0"/>
      <w:sz w:val="24"/>
      <w:szCs w:val="24"/>
    </w:rPr>
  </w:style>
  <w:style w:type="paragraph" w:styleId="20">
    <w:name w:val="Title"/>
    <w:basedOn w:val="1"/>
    <w:next w:val="16"/>
    <w:link w:val="38"/>
    <w:qFormat/>
    <w:uiPriority w:val="0"/>
    <w:pPr>
      <w:adjustRightInd w:val="0"/>
      <w:snapToGrid w:val="0"/>
      <w:spacing w:line="600" w:lineRule="exact"/>
      <w:jc w:val="center"/>
      <w:outlineLvl w:val="0"/>
    </w:pPr>
    <w:rPr>
      <w:rFonts w:eastAsia="华文中宋"/>
      <w:b/>
      <w:bCs/>
      <w:snapToGrid w:val="0"/>
      <w:kern w:val="0"/>
      <w:sz w:val="36"/>
    </w:rPr>
  </w:style>
  <w:style w:type="paragraph" w:styleId="21">
    <w:name w:val="Body Text First Indent"/>
    <w:basedOn w:val="8"/>
    <w:qFormat/>
    <w:uiPriority w:val="0"/>
    <w:pPr>
      <w:spacing w:after="120"/>
      <w:ind w:firstLine="420" w:firstLineChars="100"/>
    </w:pPr>
    <w:rPr>
      <w:rFonts w:eastAsia="仿宋_GB2312"/>
      <w:sz w:val="32"/>
    </w:rPr>
  </w:style>
  <w:style w:type="paragraph" w:styleId="22">
    <w:name w:val="Body Text First Indent 2"/>
    <w:basedOn w:val="9"/>
    <w:next w:val="1"/>
    <w:link w:val="37"/>
    <w:qFormat/>
    <w:uiPriority w:val="0"/>
    <w:pPr>
      <w:spacing w:after="120" w:line="240" w:lineRule="auto"/>
      <w:ind w:left="420" w:leftChars="200" w:firstLine="420" w:firstLineChars="200"/>
    </w:pPr>
    <w:rPr>
      <w:rFonts w:eastAsia="宋体"/>
      <w:sz w:val="21"/>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rPr>
      <w:rFonts w:eastAsia="宋体"/>
      <w:sz w:val="28"/>
    </w:rPr>
  </w:style>
  <w:style w:type="character" w:styleId="28">
    <w:name w:val="Hyperlink"/>
    <w:basedOn w:val="25"/>
    <w:qFormat/>
    <w:uiPriority w:val="0"/>
    <w:rPr>
      <w:color w:val="0000FF"/>
      <w:u w:val="single"/>
    </w:rPr>
  </w:style>
  <w:style w:type="character" w:customStyle="1" w:styleId="29">
    <w:name w:val="页脚 Char"/>
    <w:basedOn w:val="25"/>
    <w:link w:val="14"/>
    <w:qFormat/>
    <w:uiPriority w:val="99"/>
    <w:rPr>
      <w:rFonts w:eastAsia="仿宋_GB2312"/>
      <w:kern w:val="2"/>
      <w:sz w:val="18"/>
      <w:szCs w:val="32"/>
    </w:rPr>
  </w:style>
  <w:style w:type="character" w:customStyle="1" w:styleId="30">
    <w:name w:val=" Char Char5"/>
    <w:qFormat/>
    <w:uiPriority w:val="0"/>
    <w:rPr>
      <w:rFonts w:ascii="Courier New" w:hAnsi="Courier New" w:eastAsia="楷体_GB2312"/>
      <w:bCs/>
      <w:snapToGrid w:val="0"/>
      <w:sz w:val="32"/>
      <w:szCs w:val="32"/>
      <w:lang w:bidi="ar-SA"/>
    </w:rPr>
  </w:style>
  <w:style w:type="character" w:customStyle="1" w:styleId="31">
    <w:name w:val="副标题 Char"/>
    <w:link w:val="16"/>
    <w:qFormat/>
    <w:uiPriority w:val="0"/>
    <w:rPr>
      <w:rFonts w:ascii="楷体_GB2312" w:hAnsi="楷体_GB2312" w:eastAsia="楷体_GB2312"/>
      <w:bCs/>
      <w:kern w:val="28"/>
      <w:sz w:val="32"/>
      <w:szCs w:val="32"/>
      <w:lang w:bidi="ar-SA"/>
    </w:rPr>
  </w:style>
  <w:style w:type="character" w:customStyle="1" w:styleId="32">
    <w:name w:val="段落 Char"/>
    <w:link w:val="33"/>
    <w:qFormat/>
    <w:locked/>
    <w:uiPriority w:val="0"/>
    <w:rPr>
      <w:rFonts w:ascii="Courier New" w:hAnsi="Courier New" w:eastAsia="仿宋_GB2312"/>
      <w:snapToGrid w:val="0"/>
      <w:sz w:val="32"/>
      <w:lang w:bidi="ar-SA"/>
    </w:rPr>
  </w:style>
  <w:style w:type="paragraph" w:customStyle="1" w:styleId="33">
    <w:name w:val="段落"/>
    <w:link w:val="32"/>
    <w:qFormat/>
    <w:uiPriority w:val="0"/>
    <w:pPr>
      <w:widowControl w:val="0"/>
      <w:adjustRightInd w:val="0"/>
      <w:snapToGrid w:val="0"/>
      <w:spacing w:before="62" w:beforeLines="20" w:after="93" w:afterLines="30" w:line="600" w:lineRule="exact"/>
      <w:ind w:firstLine="640" w:firstLineChars="200"/>
      <w:jc w:val="both"/>
    </w:pPr>
    <w:rPr>
      <w:rFonts w:ascii="Courier New" w:hAnsi="Courier New" w:eastAsia="仿宋_GB2312" w:cs="Times New Roman"/>
      <w:snapToGrid w:val="0"/>
      <w:sz w:val="32"/>
      <w:lang w:bidi="ar-SA"/>
    </w:rPr>
  </w:style>
  <w:style w:type="character" w:customStyle="1" w:styleId="34">
    <w:name w:val="apple-style-span"/>
    <w:basedOn w:val="25"/>
    <w:qFormat/>
    <w:uiPriority w:val="0"/>
  </w:style>
  <w:style w:type="character" w:customStyle="1" w:styleId="35">
    <w:name w:val="正文文本 Char"/>
    <w:basedOn w:val="25"/>
    <w:link w:val="8"/>
    <w:qFormat/>
    <w:uiPriority w:val="0"/>
    <w:rPr>
      <w:rFonts w:eastAsia="黑体"/>
      <w:kern w:val="2"/>
      <w:sz w:val="28"/>
      <w:lang w:val="en-US" w:eastAsia="zh-CN" w:bidi="ar-SA"/>
    </w:rPr>
  </w:style>
  <w:style w:type="character" w:customStyle="1" w:styleId="36">
    <w:name w:val="正文文本缩进 Char"/>
    <w:basedOn w:val="25"/>
    <w:link w:val="9"/>
    <w:qFormat/>
    <w:uiPriority w:val="0"/>
    <w:rPr>
      <w:rFonts w:eastAsia="黑体"/>
      <w:kern w:val="2"/>
      <w:sz w:val="32"/>
      <w:szCs w:val="24"/>
    </w:rPr>
  </w:style>
  <w:style w:type="character" w:customStyle="1" w:styleId="37">
    <w:name w:val="正文首行缩进 2 Char"/>
    <w:basedOn w:val="36"/>
    <w:link w:val="22"/>
    <w:qFormat/>
    <w:uiPriority w:val="99"/>
    <w:rPr>
      <w:sz w:val="21"/>
    </w:rPr>
  </w:style>
  <w:style w:type="character" w:customStyle="1" w:styleId="38">
    <w:name w:val="标题 Char"/>
    <w:link w:val="20"/>
    <w:qFormat/>
    <w:uiPriority w:val="0"/>
    <w:rPr>
      <w:rFonts w:eastAsia="华文中宋"/>
      <w:b/>
      <w:bCs/>
      <w:snapToGrid w:val="0"/>
      <w:sz w:val="36"/>
      <w:szCs w:val="32"/>
      <w:lang w:bidi="ar-SA"/>
    </w:rPr>
  </w:style>
  <w:style w:type="paragraph" w:customStyle="1" w:styleId="39">
    <w:name w:val="p0"/>
    <w:basedOn w:val="1"/>
    <w:qFormat/>
    <w:uiPriority w:val="0"/>
    <w:pPr>
      <w:widowControl/>
    </w:pPr>
    <w:rPr>
      <w:rFonts w:ascii="Calibri" w:hAnsi="Calibri" w:eastAsia="宋体" w:cs="宋体"/>
      <w:kern w:val="0"/>
      <w:sz w:val="21"/>
      <w:szCs w:val="21"/>
    </w:rPr>
  </w:style>
  <w:style w:type="paragraph" w:customStyle="1" w:styleId="40">
    <w:name w:val="List Paragraph"/>
    <w:basedOn w:val="1"/>
    <w:qFormat/>
    <w:uiPriority w:val="0"/>
    <w:pPr>
      <w:ind w:firstLine="420" w:firstLineChars="200"/>
    </w:pPr>
    <w:rPr>
      <w:rFonts w:ascii="Calibri" w:hAnsi="Calibri" w:eastAsia="宋体" w:cs="黑体"/>
      <w:sz w:val="21"/>
      <w:szCs w:val="21"/>
    </w:rPr>
  </w:style>
  <w:style w:type="paragraph" w:customStyle="1" w:styleId="41">
    <w:name w:val="抬头"/>
    <w:next w:val="1"/>
    <w:qFormat/>
    <w:uiPriority w:val="0"/>
    <w:pPr>
      <w:widowControl w:val="0"/>
      <w:adjustRightInd w:val="0"/>
      <w:snapToGrid w:val="0"/>
      <w:spacing w:beforeLines="100" w:afterLines="30" w:line="600" w:lineRule="exact"/>
      <w:jc w:val="both"/>
    </w:pPr>
    <w:rPr>
      <w:rFonts w:ascii="Times New Roman" w:hAnsi="Times New Roman" w:eastAsia="仿宋_GB2312" w:cs="Times New Roman"/>
      <w:sz w:val="32"/>
      <w:szCs w:val="21"/>
      <w:lang w:val="en-US" w:eastAsia="zh-CN" w:bidi="ar-SA"/>
    </w:rPr>
  </w:style>
  <w:style w:type="paragraph" w:customStyle="1" w:styleId="42">
    <w:name w:val="附件"/>
    <w:basedOn w:val="1"/>
    <w:qFormat/>
    <w:uiPriority w:val="0"/>
    <w:pPr>
      <w:ind w:left="1638" w:hanging="1016"/>
    </w:pPr>
  </w:style>
  <w:style w:type="paragraph" w:customStyle="1" w:styleId="43">
    <w:name w:val="主题词"/>
    <w:basedOn w:val="1"/>
    <w:qFormat/>
    <w:uiPriority w:val="0"/>
    <w:pPr>
      <w:framePr w:wrap="notBeside" w:vAnchor="margin" w:hAnchor="margin" w:yAlign="bottom"/>
      <w:ind w:left="1246" w:hanging="1246"/>
    </w:pPr>
    <w:rPr>
      <w:rFonts w:eastAsia="公文小标宋简"/>
    </w:rPr>
  </w:style>
  <w:style w:type="paragraph" w:customStyle="1" w:styleId="44">
    <w:name w:val="样式 宋体 二号 加粗 居中 行距: 固定值 29.5 磅 图案: 清除 (白色)"/>
    <w:basedOn w:val="1"/>
    <w:qFormat/>
    <w:uiPriority w:val="0"/>
    <w:pPr>
      <w:spacing w:line="590" w:lineRule="exact"/>
      <w:jc w:val="center"/>
    </w:pPr>
    <w:rPr>
      <w:rFonts w:ascii="宋体" w:hAnsi="宋体" w:eastAsia="宋体" w:cs="宋体"/>
      <w:b/>
      <w:bCs/>
      <w:sz w:val="44"/>
    </w:rPr>
  </w:style>
  <w:style w:type="paragraph" w:customStyle="1" w:styleId="45">
    <w:name w:val="6 Char"/>
    <w:basedOn w:val="1"/>
    <w:qFormat/>
    <w:uiPriority w:val="0"/>
    <w:pPr>
      <w:widowControl/>
      <w:spacing w:beforeLines="100" w:after="160" w:line="240" w:lineRule="exact"/>
      <w:jc w:val="left"/>
    </w:pPr>
    <w:rPr>
      <w:rFonts w:ascii="宋体" w:hAnsi="宋体" w:eastAsia="宋体"/>
      <w:kern w:val="0"/>
      <w:sz w:val="24"/>
    </w:rPr>
  </w:style>
  <w:style w:type="paragraph" w:customStyle="1" w:styleId="46">
    <w:name w:val="p15"/>
    <w:basedOn w:val="1"/>
    <w:qFormat/>
    <w:uiPriority w:val="0"/>
    <w:pPr>
      <w:widowControl/>
    </w:pPr>
    <w:rPr>
      <w:rFonts w:eastAsia="宋体"/>
      <w:kern w:val="0"/>
      <w:sz w:val="21"/>
      <w:szCs w:val="21"/>
    </w:rPr>
  </w:style>
  <w:style w:type="paragraph" w:customStyle="1" w:styleId="47">
    <w:name w:val="抄 送"/>
    <w:basedOn w:val="43"/>
    <w:qFormat/>
    <w:uiPriority w:val="0"/>
    <w:pPr>
      <w:ind w:left="0" w:firstLine="0"/>
    </w:pPr>
    <w:rPr>
      <w:rFonts w:eastAsia="仿宋_GB2312"/>
    </w:rPr>
  </w:style>
  <w:style w:type="paragraph" w:customStyle="1" w:styleId="48">
    <w:name w:val="Char Char Char Char Char Char Char Char Char Char Char Char1 Char Char Char Char Char Char Char Char Char Char Char Char"/>
    <w:basedOn w:val="6"/>
    <w:qFormat/>
    <w:uiPriority w:val="0"/>
    <w:rPr>
      <w:rFonts w:ascii="Tahoma" w:hAnsi="Tahoma" w:eastAsia="宋体"/>
      <w:sz w:val="24"/>
      <w:szCs w:val="24"/>
    </w:rPr>
  </w:style>
  <w:style w:type="paragraph" w:customStyle="1" w:styleId="49">
    <w:name w:val="秘密紧急"/>
    <w:basedOn w:val="1"/>
    <w:qFormat/>
    <w:uiPriority w:val="0"/>
    <w:pPr>
      <w:jc w:val="right"/>
    </w:pPr>
    <w:rPr>
      <w:rFonts w:ascii="黑体" w:eastAsia="黑体"/>
    </w:rPr>
  </w:style>
  <w:style w:type="paragraph" w:customStyle="1" w:styleId="50">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51">
    <w:name w:val="正文-1"/>
    <w:qFormat/>
    <w:uiPriority w:val="0"/>
    <w:pPr>
      <w:spacing w:line="360" w:lineRule="auto"/>
      <w:ind w:firstLine="200"/>
    </w:pPr>
    <w:rPr>
      <w:rFonts w:ascii="宋体" w:hAnsi="宋体" w:eastAsia="宋体" w:cs="Times New Roman"/>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home\thtf\C:\&#20844;&#25991;&#27169;&#26495;\&#22269;&#26631;&#20844;&#25991;&#26684;&#24335;&#27169;&#26495;\A4%20&#20844;&#25991;_&#26222;&#36890;_16&#23383;_&#26080;&#32418;&#2283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2022-08-11T01:25:00Z</dcterms:created>
  <dc:creator>lil ghost</dc:creator>
  <cp:lastModifiedBy>QDD</cp:lastModifiedBy>
  <cp:lastPrinted>2023-09-29T08:58:00Z</cp:lastPrinted>
  <dcterms:modified xsi:type="dcterms:W3CDTF">2023-10-07T09:05:09Z</dcterms:modified>
  <dc:title>武汉市水务局关于印发行政处罚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文种">
    <vt:lpwstr>unknow</vt:lpwstr>
  </property>
  <property fmtid="{D5CDD505-2E9C-101B-9397-08002B2CF9AE}" pid="4" name="ICV">
    <vt:lpwstr>CC829F14606A4ADDB298B1AA133FFE82_13</vt:lpwstr>
  </property>
</Properties>
</file>