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0E4E2E">
        <w:trPr>
          <w:trHeight w:val="10427"/>
        </w:trPr>
        <w:tc>
          <w:tcPr>
            <w:tcW w:w="8522" w:type="dxa"/>
          </w:tcPr>
          <w:p w:rsidR="000E4E2E" w:rsidRDefault="000E4E2E">
            <w:pPr>
              <w:jc w:val="center"/>
              <w:rPr>
                <w:rFonts w:ascii="仿宋_GB2312" w:eastAsia="仿宋_GB2312" w:hint="eastAsia"/>
                <w:b/>
                <w:sz w:val="32"/>
                <w:szCs w:val="32"/>
              </w:rPr>
            </w:pPr>
          </w:p>
          <w:p w:rsidR="000E4E2E" w:rsidRDefault="000E4E2E">
            <w:pPr>
              <w:jc w:val="center"/>
              <w:rPr>
                <w:rFonts w:ascii="仿宋_GB2312" w:eastAsia="仿宋_GB2312"/>
                <w:b/>
                <w:sz w:val="32"/>
                <w:szCs w:val="32"/>
              </w:rPr>
            </w:pPr>
          </w:p>
          <w:p w:rsidR="000E4E2E" w:rsidRDefault="00046F11">
            <w:pPr>
              <w:jc w:val="center"/>
              <w:rPr>
                <w:rFonts w:ascii="黑体" w:eastAsia="黑体" w:hAnsi="黑体"/>
                <w:b/>
                <w:sz w:val="36"/>
                <w:szCs w:val="36"/>
              </w:rPr>
            </w:pPr>
            <w:r>
              <w:rPr>
                <w:rFonts w:ascii="黑体" w:eastAsia="黑体" w:hAnsi="黑体" w:hint="eastAsia"/>
                <w:b/>
                <w:sz w:val="36"/>
                <w:szCs w:val="36"/>
              </w:rPr>
              <w:t>武汉市市直预算项目</w:t>
            </w:r>
          </w:p>
          <w:p w:rsidR="000E4E2E" w:rsidRDefault="00046F11">
            <w:pPr>
              <w:jc w:val="center"/>
              <w:rPr>
                <w:rFonts w:ascii="黑体" w:eastAsia="黑体" w:hAnsi="黑体"/>
                <w:b/>
                <w:sz w:val="32"/>
                <w:szCs w:val="32"/>
              </w:rPr>
            </w:pPr>
            <w:r>
              <w:rPr>
                <w:rFonts w:ascii="黑体" w:eastAsia="黑体" w:hAnsi="黑体" w:hint="eastAsia"/>
                <w:b/>
                <w:sz w:val="36"/>
                <w:szCs w:val="36"/>
              </w:rPr>
              <w:t>绩效自评报告</w:t>
            </w:r>
          </w:p>
          <w:p w:rsidR="000E4E2E" w:rsidRDefault="000E4E2E">
            <w:pPr>
              <w:jc w:val="center"/>
              <w:rPr>
                <w:rFonts w:ascii="黑体" w:eastAsia="黑体" w:hAnsi="黑体"/>
                <w:b/>
                <w:bCs/>
                <w:sz w:val="32"/>
                <w:szCs w:val="32"/>
              </w:rPr>
            </w:pPr>
          </w:p>
          <w:p w:rsidR="000E4E2E" w:rsidRDefault="000E4E2E">
            <w:pPr>
              <w:rPr>
                <w:rFonts w:ascii="黑体" w:eastAsia="黑体" w:hAnsi="黑体"/>
                <w:b/>
                <w:sz w:val="32"/>
                <w:szCs w:val="32"/>
              </w:rPr>
            </w:pPr>
          </w:p>
          <w:p w:rsidR="000E4E2E" w:rsidRDefault="000E4E2E">
            <w:pPr>
              <w:rPr>
                <w:rFonts w:ascii="黑体" w:eastAsia="黑体" w:hAnsi="黑体"/>
                <w:b/>
                <w:sz w:val="32"/>
                <w:szCs w:val="32"/>
              </w:rPr>
            </w:pPr>
          </w:p>
          <w:p w:rsidR="000E4E2E" w:rsidRDefault="000E4E2E">
            <w:pPr>
              <w:rPr>
                <w:rFonts w:ascii="黑体" w:eastAsia="黑体" w:hAnsi="黑体"/>
                <w:b/>
                <w:sz w:val="32"/>
                <w:szCs w:val="32"/>
              </w:rPr>
            </w:pPr>
          </w:p>
          <w:p w:rsidR="000E4E2E" w:rsidRDefault="000E4E2E">
            <w:pPr>
              <w:rPr>
                <w:rFonts w:ascii="黑体" w:eastAsia="黑体" w:hAnsi="黑体"/>
                <w:b/>
                <w:sz w:val="32"/>
                <w:szCs w:val="32"/>
              </w:rPr>
            </w:pPr>
          </w:p>
          <w:p w:rsidR="000E4E2E" w:rsidRDefault="00046F11">
            <w:pPr>
              <w:rPr>
                <w:rFonts w:ascii="黑体" w:eastAsia="黑体" w:hAnsi="黑体"/>
                <w:b/>
                <w:sz w:val="32"/>
                <w:szCs w:val="32"/>
              </w:rPr>
            </w:pPr>
            <w:r>
              <w:rPr>
                <w:rFonts w:ascii="黑体" w:eastAsia="黑体" w:hAnsi="黑体" w:hint="eastAsia"/>
                <w:b/>
                <w:sz w:val="32"/>
                <w:szCs w:val="32"/>
              </w:rPr>
              <w:t xml:space="preserve">          </w:t>
            </w:r>
            <w:r>
              <w:rPr>
                <w:rFonts w:ascii="黑体" w:eastAsia="黑体" w:hAnsi="黑体" w:hint="eastAsia"/>
                <w:bCs/>
                <w:sz w:val="32"/>
                <w:szCs w:val="32"/>
              </w:rPr>
              <w:t>项目名称：水利工程运行与维护</w:t>
            </w:r>
          </w:p>
          <w:p w:rsidR="000E4E2E" w:rsidRDefault="002B0914">
            <w:pPr>
              <w:tabs>
                <w:tab w:val="center" w:pos="4153"/>
              </w:tabs>
              <w:ind w:leftChars="760" w:left="3196" w:hangingChars="500" w:hanging="1600"/>
              <w:rPr>
                <w:rFonts w:ascii="黑体" w:eastAsia="黑体" w:hAnsi="黑体"/>
                <w:bCs/>
                <w:sz w:val="32"/>
                <w:szCs w:val="32"/>
              </w:rPr>
            </w:pPr>
            <w:r>
              <w:rPr>
                <w:rFonts w:ascii="黑体" w:eastAsia="黑体" w:hAnsi="黑体" w:hint="eastAsia"/>
                <w:bCs/>
                <w:sz w:val="32"/>
                <w:szCs w:val="32"/>
              </w:rPr>
              <w:t>项目单位：武汉市</w:t>
            </w:r>
            <w:r w:rsidR="00046F11">
              <w:rPr>
                <w:rFonts w:ascii="黑体" w:eastAsia="黑体" w:hAnsi="黑体" w:hint="eastAsia"/>
                <w:bCs/>
                <w:sz w:val="32"/>
                <w:szCs w:val="32"/>
              </w:rPr>
              <w:t>江滩管理办公室</w:t>
            </w:r>
          </w:p>
          <w:p w:rsidR="000E4E2E" w:rsidRDefault="00046F11">
            <w:pPr>
              <w:ind w:firstLineChars="500" w:firstLine="1600"/>
              <w:rPr>
                <w:rFonts w:ascii="黑体" w:eastAsia="黑体" w:hAnsi="黑体"/>
                <w:bCs/>
                <w:sz w:val="32"/>
                <w:szCs w:val="32"/>
              </w:rPr>
            </w:pPr>
            <w:r>
              <w:rPr>
                <w:rFonts w:ascii="黑体" w:eastAsia="黑体" w:hAnsi="黑体" w:hint="eastAsia"/>
                <w:bCs/>
                <w:sz w:val="32"/>
                <w:szCs w:val="32"/>
              </w:rPr>
              <w:t>主管部门：武汉市水务局</w:t>
            </w:r>
          </w:p>
          <w:p w:rsidR="000E4E2E" w:rsidRDefault="00046F11">
            <w:pPr>
              <w:ind w:firstLineChars="500" w:firstLine="1600"/>
              <w:rPr>
                <w:rFonts w:ascii="黑体" w:eastAsia="黑体" w:hAnsi="黑体"/>
                <w:bCs/>
                <w:sz w:val="32"/>
                <w:szCs w:val="32"/>
              </w:rPr>
            </w:pPr>
            <w:r>
              <w:rPr>
                <w:rFonts w:ascii="黑体" w:eastAsia="黑体" w:hAnsi="黑体" w:hint="eastAsia"/>
                <w:bCs/>
                <w:sz w:val="32"/>
                <w:szCs w:val="32"/>
              </w:rPr>
              <w:t>报告时间：二○一八年七月</w:t>
            </w:r>
          </w:p>
          <w:p w:rsidR="000E4E2E" w:rsidRDefault="000E4E2E">
            <w:pPr>
              <w:jc w:val="center"/>
              <w:rPr>
                <w:rFonts w:ascii="黑体" w:eastAsia="黑体" w:hAnsi="黑体"/>
                <w:bCs/>
                <w:sz w:val="32"/>
                <w:szCs w:val="32"/>
              </w:rPr>
            </w:pPr>
          </w:p>
          <w:p w:rsidR="000E4E2E" w:rsidRDefault="000E4E2E">
            <w:pPr>
              <w:jc w:val="center"/>
              <w:rPr>
                <w:rFonts w:ascii="黑体" w:eastAsia="黑体" w:hAnsi="黑体"/>
                <w:bCs/>
                <w:sz w:val="32"/>
                <w:szCs w:val="32"/>
              </w:rPr>
            </w:pPr>
          </w:p>
          <w:p w:rsidR="000E4E2E" w:rsidRDefault="000E4E2E">
            <w:pPr>
              <w:jc w:val="center"/>
              <w:rPr>
                <w:rFonts w:ascii="黑体" w:eastAsia="黑体" w:hAnsi="黑体"/>
                <w:bCs/>
                <w:sz w:val="32"/>
                <w:szCs w:val="32"/>
              </w:rPr>
            </w:pPr>
          </w:p>
          <w:p w:rsidR="000E4E2E" w:rsidRDefault="000E4E2E">
            <w:pPr>
              <w:jc w:val="center"/>
              <w:rPr>
                <w:rFonts w:ascii="仿宋_GB2312" w:eastAsia="仿宋_GB2312"/>
                <w:b/>
                <w:sz w:val="32"/>
                <w:szCs w:val="32"/>
              </w:rPr>
            </w:pPr>
          </w:p>
          <w:p w:rsidR="000E4E2E" w:rsidRDefault="000E4E2E">
            <w:pPr>
              <w:jc w:val="center"/>
              <w:rPr>
                <w:rFonts w:ascii="仿宋_GB2312" w:eastAsia="仿宋_GB2312"/>
                <w:b/>
                <w:sz w:val="32"/>
                <w:szCs w:val="32"/>
              </w:rPr>
            </w:pPr>
          </w:p>
        </w:tc>
      </w:tr>
    </w:tbl>
    <w:p w:rsidR="000E4E2E" w:rsidRDefault="000E4E2E"/>
    <w:p w:rsidR="000E4E2E" w:rsidRDefault="000E4E2E"/>
    <w:p w:rsidR="000E4E2E" w:rsidRDefault="000E4E2E"/>
    <w:p w:rsidR="000E4E2E" w:rsidRDefault="000E4E2E" w:rsidP="00980FE5">
      <w:pPr>
        <w:rPr>
          <w:rFonts w:ascii="黑体" w:eastAsia="黑体" w:hAnsi="黑体" w:cs="黑体"/>
          <w:b/>
          <w:bCs/>
          <w:sz w:val="32"/>
          <w:szCs w:val="32"/>
        </w:rPr>
        <w:sectPr w:rsidR="000E4E2E">
          <w:footerReference w:type="default" r:id="rId7"/>
          <w:pgSz w:w="11906" w:h="16838"/>
          <w:pgMar w:top="1440" w:right="1800" w:bottom="1440" w:left="1800" w:header="851" w:footer="992" w:gutter="0"/>
          <w:pgNumType w:start="1"/>
          <w:cols w:space="720"/>
          <w:docGrid w:type="lines" w:linePitch="312"/>
        </w:sectPr>
      </w:pPr>
    </w:p>
    <w:p w:rsidR="000E4E2E" w:rsidRDefault="00000669" w:rsidP="00000669">
      <w:pPr>
        <w:spacing w:line="520" w:lineRule="exact"/>
        <w:outlineLvl w:val="0"/>
        <w:rPr>
          <w:rFonts w:ascii="黑体" w:eastAsia="黑体" w:hAnsi="黑体" w:cs="黑体"/>
          <w:bCs/>
          <w:sz w:val="28"/>
          <w:szCs w:val="28"/>
        </w:rPr>
      </w:pPr>
      <w:bookmarkStart w:id="0" w:name="_Toc511502514"/>
      <w:bookmarkStart w:id="1" w:name="_Toc517708009"/>
      <w:r>
        <w:rPr>
          <w:rFonts w:ascii="黑体" w:eastAsia="黑体" w:hAnsi="黑体" w:cs="黑体" w:hint="eastAsia"/>
          <w:bCs/>
          <w:sz w:val="28"/>
          <w:szCs w:val="28"/>
        </w:rPr>
        <w:lastRenderedPageBreak/>
        <w:t xml:space="preserve">    一、项目基本情况</w:t>
      </w:r>
      <w:bookmarkEnd w:id="0"/>
      <w:bookmarkEnd w:id="1"/>
    </w:p>
    <w:p w:rsidR="000E4E2E" w:rsidRDefault="00046F11">
      <w:pPr>
        <w:spacing w:line="520" w:lineRule="exact"/>
        <w:ind w:firstLineChars="200" w:firstLine="560"/>
        <w:outlineLvl w:val="1"/>
        <w:rPr>
          <w:rFonts w:ascii="仿宋" w:eastAsia="仿宋" w:hAnsi="仿宋"/>
          <w:bCs/>
          <w:sz w:val="28"/>
          <w:szCs w:val="28"/>
        </w:rPr>
      </w:pPr>
      <w:bookmarkStart w:id="2" w:name="_Toc511502515"/>
      <w:bookmarkStart w:id="3" w:name="_Toc517708010"/>
      <w:r>
        <w:rPr>
          <w:rFonts w:ascii="仿宋" w:eastAsia="仿宋" w:hAnsi="仿宋" w:hint="eastAsia"/>
          <w:bCs/>
          <w:sz w:val="28"/>
          <w:szCs w:val="28"/>
        </w:rPr>
        <w:t>（一）</w:t>
      </w:r>
      <w:bookmarkEnd w:id="2"/>
      <w:r>
        <w:rPr>
          <w:rFonts w:ascii="仿宋" w:eastAsia="仿宋" w:hAnsi="仿宋" w:hint="eastAsia"/>
          <w:bCs/>
          <w:sz w:val="28"/>
          <w:szCs w:val="28"/>
        </w:rPr>
        <w:t>项目概况</w:t>
      </w:r>
      <w:bookmarkEnd w:id="3"/>
    </w:p>
    <w:p w:rsidR="000E4E2E" w:rsidRDefault="00046F11">
      <w:pPr>
        <w:spacing w:line="520" w:lineRule="exact"/>
        <w:ind w:firstLineChars="200" w:firstLine="560"/>
        <w:rPr>
          <w:rFonts w:ascii="仿宋" w:eastAsia="仿宋" w:hAnsi="仿宋"/>
          <w:bCs/>
          <w:sz w:val="28"/>
          <w:szCs w:val="28"/>
        </w:rPr>
      </w:pPr>
      <w:r>
        <w:rPr>
          <w:rFonts w:ascii="仿宋" w:eastAsia="仿宋" w:hAnsi="仿宋"/>
          <w:bCs/>
          <w:sz w:val="28"/>
          <w:szCs w:val="28"/>
        </w:rPr>
        <w:t>武汉江滩</w:t>
      </w:r>
      <w:r>
        <w:rPr>
          <w:rFonts w:ascii="仿宋" w:eastAsia="仿宋" w:hAnsi="仿宋" w:hint="eastAsia"/>
          <w:bCs/>
          <w:sz w:val="28"/>
          <w:szCs w:val="28"/>
        </w:rPr>
        <w:t>由</w:t>
      </w:r>
      <w:r>
        <w:rPr>
          <w:rFonts w:ascii="仿宋" w:eastAsia="仿宋" w:hAnsi="仿宋"/>
          <w:bCs/>
          <w:sz w:val="28"/>
          <w:szCs w:val="28"/>
        </w:rPr>
        <w:t>汉口江滩、汉阳江滩、武昌江滩</w:t>
      </w:r>
      <w:r>
        <w:rPr>
          <w:rFonts w:ascii="仿宋" w:eastAsia="仿宋" w:hAnsi="仿宋" w:hint="eastAsia"/>
          <w:bCs/>
          <w:sz w:val="28"/>
          <w:szCs w:val="28"/>
        </w:rPr>
        <w:t>、汉江江滩、硚口江滩及青山江滩</w:t>
      </w:r>
      <w:r>
        <w:rPr>
          <w:rFonts w:ascii="仿宋" w:eastAsia="仿宋" w:hAnsi="仿宋"/>
          <w:bCs/>
          <w:sz w:val="28"/>
          <w:szCs w:val="28"/>
        </w:rPr>
        <w:t>组成</w:t>
      </w:r>
      <w:r>
        <w:rPr>
          <w:rFonts w:ascii="仿宋" w:eastAsia="仿宋" w:hAnsi="仿宋" w:hint="eastAsia"/>
          <w:bCs/>
          <w:sz w:val="28"/>
          <w:szCs w:val="28"/>
        </w:rPr>
        <w:t>，</w:t>
      </w:r>
      <w:r>
        <w:rPr>
          <w:rFonts w:ascii="仿宋" w:eastAsia="仿宋" w:hAnsi="仿宋"/>
          <w:bCs/>
          <w:sz w:val="28"/>
          <w:szCs w:val="28"/>
        </w:rPr>
        <w:t>集防洪、景观、旅游、休闲、健身等功能于一体，为全天候免费开放式群众游园。其中汉口江滩、汉阳江滩</w:t>
      </w:r>
      <w:r>
        <w:rPr>
          <w:rFonts w:ascii="仿宋" w:eastAsia="仿宋" w:hAnsi="仿宋" w:hint="eastAsia"/>
          <w:bCs/>
          <w:sz w:val="28"/>
          <w:szCs w:val="28"/>
        </w:rPr>
        <w:t>、</w:t>
      </w:r>
      <w:r>
        <w:rPr>
          <w:rFonts w:ascii="仿宋" w:eastAsia="仿宋" w:hAnsi="仿宋"/>
          <w:bCs/>
          <w:sz w:val="28"/>
          <w:szCs w:val="28"/>
        </w:rPr>
        <w:t>汉江江滩</w:t>
      </w:r>
      <w:r>
        <w:rPr>
          <w:rFonts w:ascii="仿宋" w:eastAsia="仿宋" w:hAnsi="仿宋" w:hint="eastAsia"/>
          <w:bCs/>
          <w:sz w:val="28"/>
          <w:szCs w:val="28"/>
        </w:rPr>
        <w:t>（江汉一桥</w:t>
      </w:r>
      <w:r>
        <w:rPr>
          <w:rFonts w:ascii="仿宋" w:eastAsia="仿宋" w:hAnsi="仿宋"/>
          <w:bCs/>
          <w:sz w:val="28"/>
          <w:szCs w:val="28"/>
        </w:rPr>
        <w:t>~月湖桥）</w:t>
      </w:r>
      <w:r>
        <w:rPr>
          <w:rFonts w:ascii="仿宋" w:eastAsia="仿宋" w:hAnsi="仿宋" w:hint="eastAsia"/>
          <w:bCs/>
          <w:sz w:val="28"/>
          <w:szCs w:val="28"/>
        </w:rPr>
        <w:t>段</w:t>
      </w:r>
      <w:r>
        <w:rPr>
          <w:rFonts w:ascii="仿宋" w:eastAsia="仿宋" w:hAnsi="仿宋"/>
          <w:bCs/>
          <w:sz w:val="28"/>
          <w:szCs w:val="28"/>
        </w:rPr>
        <w:t>属于</w:t>
      </w:r>
      <w:r>
        <w:rPr>
          <w:rFonts w:ascii="仿宋" w:eastAsia="仿宋" w:hAnsi="仿宋" w:hint="eastAsia"/>
          <w:bCs/>
          <w:sz w:val="28"/>
          <w:szCs w:val="28"/>
        </w:rPr>
        <w:t>武汉市汉口</w:t>
      </w:r>
      <w:r>
        <w:rPr>
          <w:rFonts w:ascii="仿宋" w:eastAsia="仿宋" w:hAnsi="仿宋"/>
          <w:bCs/>
          <w:sz w:val="28"/>
          <w:szCs w:val="28"/>
        </w:rPr>
        <w:t>江滩管理办公室</w:t>
      </w:r>
      <w:r>
        <w:rPr>
          <w:rFonts w:ascii="仿宋" w:eastAsia="仿宋" w:hAnsi="仿宋" w:hint="eastAsia"/>
          <w:bCs/>
          <w:sz w:val="28"/>
          <w:szCs w:val="28"/>
        </w:rPr>
        <w:t>（以下简称“汉口江滩办”）</w:t>
      </w:r>
      <w:r>
        <w:rPr>
          <w:rFonts w:ascii="仿宋" w:eastAsia="仿宋" w:hAnsi="仿宋"/>
          <w:bCs/>
          <w:sz w:val="28"/>
          <w:szCs w:val="28"/>
        </w:rPr>
        <w:t>管理</w:t>
      </w:r>
      <w:r>
        <w:rPr>
          <w:rFonts w:ascii="仿宋" w:eastAsia="仿宋" w:hAnsi="仿宋" w:hint="eastAsia"/>
          <w:bCs/>
          <w:sz w:val="28"/>
          <w:szCs w:val="28"/>
        </w:rPr>
        <w:t>，</w:t>
      </w:r>
      <w:r>
        <w:rPr>
          <w:rFonts w:ascii="仿宋" w:eastAsia="仿宋" w:hAnsi="仿宋"/>
          <w:bCs/>
          <w:sz w:val="28"/>
          <w:szCs w:val="28"/>
        </w:rPr>
        <w:t>主要负责江滩堤防设施维护保养、景区秩序维护及园区环境保洁等。</w:t>
      </w:r>
    </w:p>
    <w:p w:rsidR="000E4E2E" w:rsidRDefault="00046F11">
      <w:pPr>
        <w:spacing w:line="520" w:lineRule="exact"/>
        <w:ind w:firstLineChars="200" w:firstLine="560"/>
        <w:jc w:val="left"/>
        <w:rPr>
          <w:rFonts w:ascii="仿宋" w:eastAsia="仿宋" w:hAnsi="仿宋"/>
          <w:bCs/>
          <w:sz w:val="28"/>
          <w:szCs w:val="28"/>
        </w:rPr>
      </w:pPr>
      <w:r>
        <w:rPr>
          <w:rFonts w:ascii="仿宋" w:eastAsia="仿宋" w:hAnsi="仿宋" w:hint="eastAsia"/>
          <w:bCs/>
          <w:sz w:val="28"/>
          <w:szCs w:val="28"/>
        </w:rPr>
        <w:t>江滩内堤防设施由于建成和运行时间已有10余</w:t>
      </w:r>
      <w:r>
        <w:rPr>
          <w:rFonts w:ascii="仿宋" w:eastAsia="仿宋" w:hAnsi="仿宋"/>
          <w:bCs/>
          <w:sz w:val="28"/>
          <w:szCs w:val="28"/>
        </w:rPr>
        <w:t>年之久</w:t>
      </w:r>
      <w:r w:rsidR="00BC6194">
        <w:rPr>
          <w:rFonts w:ascii="仿宋" w:eastAsia="仿宋" w:hAnsi="仿宋" w:hint="eastAsia"/>
          <w:bCs/>
          <w:sz w:val="28"/>
          <w:szCs w:val="28"/>
        </w:rPr>
        <w:t>，部分设施出现老化、损坏等情况，</w:t>
      </w:r>
      <w:r>
        <w:rPr>
          <w:rFonts w:ascii="仿宋" w:eastAsia="仿宋" w:hAnsi="仿宋" w:hint="eastAsia"/>
          <w:bCs/>
          <w:sz w:val="28"/>
          <w:szCs w:val="28"/>
        </w:rPr>
        <w:t>江滩办每年均会对存在问题的堤防设施进行更新维护。</w:t>
      </w:r>
      <w:r>
        <w:rPr>
          <w:rFonts w:ascii="仿宋" w:eastAsia="仿宋" w:hAnsi="仿宋"/>
          <w:bCs/>
          <w:sz w:val="28"/>
          <w:szCs w:val="28"/>
        </w:rPr>
        <w:t>2017年度</w:t>
      </w:r>
      <w:r>
        <w:rPr>
          <w:rFonts w:ascii="仿宋" w:eastAsia="仿宋" w:hAnsi="仿宋" w:hint="eastAsia"/>
          <w:bCs/>
          <w:sz w:val="28"/>
          <w:szCs w:val="28"/>
        </w:rPr>
        <w:t>的</w:t>
      </w:r>
      <w:r>
        <w:rPr>
          <w:rFonts w:ascii="仿宋" w:eastAsia="仿宋" w:hAnsi="仿宋"/>
          <w:bCs/>
          <w:sz w:val="28"/>
          <w:szCs w:val="28"/>
        </w:rPr>
        <w:t>江滩堤防维护项目以更新</w:t>
      </w:r>
      <w:r>
        <w:rPr>
          <w:rFonts w:ascii="仿宋" w:eastAsia="仿宋" w:hAnsi="仿宋" w:hint="eastAsia"/>
          <w:bCs/>
          <w:sz w:val="28"/>
          <w:szCs w:val="28"/>
        </w:rPr>
        <w:t>改造</w:t>
      </w:r>
      <w:r>
        <w:rPr>
          <w:rFonts w:ascii="仿宋" w:eastAsia="仿宋" w:hAnsi="仿宋"/>
          <w:bCs/>
          <w:sz w:val="28"/>
          <w:szCs w:val="28"/>
        </w:rPr>
        <w:t>江滩景观设施</w:t>
      </w:r>
      <w:r>
        <w:rPr>
          <w:rFonts w:ascii="仿宋" w:eastAsia="仿宋" w:hAnsi="仿宋" w:hint="eastAsia"/>
          <w:bCs/>
          <w:sz w:val="28"/>
          <w:szCs w:val="28"/>
        </w:rPr>
        <w:t>、</w:t>
      </w:r>
      <w:r>
        <w:rPr>
          <w:rFonts w:ascii="仿宋" w:eastAsia="仿宋" w:hAnsi="仿宋"/>
          <w:bCs/>
          <w:sz w:val="28"/>
          <w:szCs w:val="28"/>
        </w:rPr>
        <w:t>基础服务设施</w:t>
      </w:r>
      <w:r>
        <w:rPr>
          <w:rFonts w:ascii="仿宋" w:eastAsia="仿宋" w:hAnsi="仿宋" w:hint="eastAsia"/>
          <w:bCs/>
          <w:sz w:val="28"/>
          <w:szCs w:val="28"/>
        </w:rPr>
        <w:t>及</w:t>
      </w:r>
      <w:r>
        <w:rPr>
          <w:rFonts w:ascii="仿宋" w:eastAsia="仿宋" w:hAnsi="仿宋"/>
          <w:bCs/>
          <w:sz w:val="28"/>
          <w:szCs w:val="28"/>
        </w:rPr>
        <w:t>亮化设施为重点，以逐步改善江滩景区环境，提升江滩服务功能为目的进行维护。</w:t>
      </w:r>
      <w:r>
        <w:rPr>
          <w:rFonts w:ascii="仿宋" w:eastAsia="仿宋" w:hAnsi="仿宋" w:hint="eastAsia"/>
          <w:bCs/>
          <w:sz w:val="28"/>
          <w:szCs w:val="28"/>
        </w:rPr>
        <w:t>维修后能够提升江滩整体的环境。</w:t>
      </w:r>
    </w:p>
    <w:p w:rsidR="000E4E2E" w:rsidRDefault="00046F11">
      <w:pPr>
        <w:spacing w:line="520" w:lineRule="exact"/>
        <w:ind w:firstLineChars="200" w:firstLine="560"/>
        <w:outlineLvl w:val="1"/>
        <w:rPr>
          <w:rFonts w:ascii="仿宋" w:eastAsia="仿宋" w:hAnsi="仿宋"/>
          <w:bCs/>
          <w:sz w:val="28"/>
          <w:szCs w:val="28"/>
        </w:rPr>
      </w:pPr>
      <w:bookmarkStart w:id="4" w:name="_Toc517708011"/>
      <w:bookmarkStart w:id="5" w:name="_Toc511502516"/>
      <w:r>
        <w:rPr>
          <w:rFonts w:ascii="仿宋" w:eastAsia="仿宋" w:hAnsi="仿宋" w:hint="eastAsia"/>
          <w:bCs/>
          <w:sz w:val="28"/>
          <w:szCs w:val="28"/>
        </w:rPr>
        <w:t>（二）项目预算绩效目标</w:t>
      </w:r>
      <w:bookmarkEnd w:id="4"/>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项目绩效目标是对江滩堤防、景观、绿化设施等基础设施进行局部更新和提档升级，确保江滩堤防设施安全、正常运行；保证园区秩序正规，提升景点效果。主要项目具体绩效指标设置情况如下：</w:t>
      </w:r>
    </w:p>
    <w:p w:rsidR="000E4E2E" w:rsidRDefault="00046F11">
      <w:pPr>
        <w:spacing w:line="520" w:lineRule="exact"/>
        <w:jc w:val="center"/>
        <w:rPr>
          <w:rFonts w:ascii="仿宋" w:eastAsia="仿宋" w:hAnsi="仿宋"/>
          <w:bCs/>
          <w:color w:val="FF0000"/>
          <w:sz w:val="28"/>
          <w:szCs w:val="28"/>
        </w:rPr>
      </w:pPr>
      <w:r>
        <w:rPr>
          <w:rFonts w:ascii="仿宋" w:eastAsia="仿宋" w:hAnsi="仿宋" w:hint="eastAsia"/>
          <w:bCs/>
          <w:color w:val="000000" w:themeColor="text1"/>
          <w:sz w:val="28"/>
          <w:szCs w:val="28"/>
        </w:rPr>
        <w:t>江滩堤防设施维修项目绩效指标设置情况如下：</w:t>
      </w:r>
    </w:p>
    <w:tbl>
      <w:tblPr>
        <w:tblW w:w="8379" w:type="dxa"/>
        <w:jc w:val="center"/>
        <w:tblLayout w:type="fixed"/>
        <w:tblLook w:val="04A0" w:firstRow="1" w:lastRow="0" w:firstColumn="1" w:lastColumn="0" w:noHBand="0" w:noVBand="1"/>
      </w:tblPr>
      <w:tblGrid>
        <w:gridCol w:w="1291"/>
        <w:gridCol w:w="2169"/>
        <w:gridCol w:w="3100"/>
        <w:gridCol w:w="1819"/>
      </w:tblGrid>
      <w:tr w:rsidR="000E4E2E">
        <w:trPr>
          <w:trHeight w:val="480"/>
          <w:tblHeader/>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一级指标</w:t>
            </w:r>
          </w:p>
        </w:tc>
        <w:tc>
          <w:tcPr>
            <w:tcW w:w="2169"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二级指标</w:t>
            </w:r>
          </w:p>
        </w:tc>
        <w:tc>
          <w:tcPr>
            <w:tcW w:w="3100"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指标内容</w:t>
            </w:r>
          </w:p>
        </w:tc>
        <w:tc>
          <w:tcPr>
            <w:tcW w:w="1819"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指标值</w:t>
            </w:r>
          </w:p>
        </w:tc>
      </w:tr>
      <w:tr w:rsidR="000E4E2E">
        <w:trPr>
          <w:trHeight w:val="640"/>
          <w:jc w:val="center"/>
        </w:trPr>
        <w:tc>
          <w:tcPr>
            <w:tcW w:w="1291" w:type="dxa"/>
            <w:vMerge w:val="restart"/>
            <w:tcBorders>
              <w:top w:val="nil"/>
              <w:left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产出指标</w:t>
            </w:r>
          </w:p>
        </w:tc>
        <w:tc>
          <w:tcPr>
            <w:tcW w:w="216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数量指标</w:t>
            </w:r>
          </w:p>
        </w:tc>
        <w:tc>
          <w:tcPr>
            <w:tcW w:w="310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江滩面积</w:t>
            </w:r>
          </w:p>
        </w:tc>
        <w:tc>
          <w:tcPr>
            <w:tcW w:w="181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122.38万平方</w:t>
            </w:r>
          </w:p>
        </w:tc>
      </w:tr>
      <w:tr w:rsidR="000E4E2E">
        <w:trPr>
          <w:trHeight w:val="480"/>
          <w:jc w:val="center"/>
        </w:trPr>
        <w:tc>
          <w:tcPr>
            <w:tcW w:w="1291" w:type="dxa"/>
            <w:vMerge/>
            <w:tcBorders>
              <w:left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16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质量指标</w:t>
            </w:r>
          </w:p>
        </w:tc>
        <w:tc>
          <w:tcPr>
            <w:tcW w:w="310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园区设施状态</w:t>
            </w:r>
          </w:p>
        </w:tc>
        <w:tc>
          <w:tcPr>
            <w:tcW w:w="181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设施正常运行率95%以上</w:t>
            </w:r>
          </w:p>
        </w:tc>
      </w:tr>
      <w:tr w:rsidR="000E4E2E">
        <w:trPr>
          <w:trHeight w:val="585"/>
          <w:jc w:val="center"/>
        </w:trPr>
        <w:tc>
          <w:tcPr>
            <w:tcW w:w="1291" w:type="dxa"/>
            <w:vMerge/>
            <w:tcBorders>
              <w:left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16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时效指标</w:t>
            </w:r>
          </w:p>
        </w:tc>
        <w:tc>
          <w:tcPr>
            <w:tcW w:w="310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当年</w:t>
            </w:r>
          </w:p>
        </w:tc>
        <w:tc>
          <w:tcPr>
            <w:tcW w:w="181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一年</w:t>
            </w:r>
          </w:p>
        </w:tc>
      </w:tr>
      <w:tr w:rsidR="000E4E2E">
        <w:trPr>
          <w:trHeight w:val="585"/>
          <w:jc w:val="center"/>
        </w:trPr>
        <w:tc>
          <w:tcPr>
            <w:tcW w:w="1291" w:type="dxa"/>
            <w:vMerge/>
            <w:tcBorders>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16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sz w:val="24"/>
              </w:rPr>
            </w:pPr>
            <w:r>
              <w:rPr>
                <w:rFonts w:ascii="仿宋" w:eastAsia="仿宋" w:hAnsi="仿宋" w:cs="仿宋" w:hint="eastAsia"/>
                <w:color w:val="000000"/>
                <w:kern w:val="0"/>
                <w:sz w:val="24"/>
              </w:rPr>
              <w:t>成本指标</w:t>
            </w:r>
          </w:p>
        </w:tc>
        <w:tc>
          <w:tcPr>
            <w:tcW w:w="310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sz w:val="24"/>
              </w:rPr>
            </w:pPr>
            <w:r>
              <w:rPr>
                <w:rFonts w:ascii="仿宋" w:eastAsia="仿宋" w:hAnsi="仿宋" w:cs="仿宋" w:hint="eastAsia"/>
                <w:color w:val="000000"/>
                <w:kern w:val="0"/>
                <w:sz w:val="24"/>
              </w:rPr>
              <w:t>控制在预算内</w:t>
            </w:r>
          </w:p>
        </w:tc>
        <w:tc>
          <w:tcPr>
            <w:tcW w:w="181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sz w:val="24"/>
              </w:rPr>
            </w:pPr>
            <w:r>
              <w:rPr>
                <w:rFonts w:ascii="仿宋" w:eastAsia="仿宋" w:hAnsi="仿宋" w:cs="仿宋" w:hint="eastAsia"/>
                <w:color w:val="000000"/>
                <w:kern w:val="0"/>
                <w:sz w:val="24"/>
              </w:rPr>
              <w:t>1300</w:t>
            </w:r>
          </w:p>
        </w:tc>
      </w:tr>
      <w:tr w:rsidR="000E4E2E">
        <w:trPr>
          <w:trHeight w:val="600"/>
          <w:jc w:val="center"/>
        </w:trPr>
        <w:tc>
          <w:tcPr>
            <w:tcW w:w="1291" w:type="dxa"/>
            <w:vMerge w:val="restart"/>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效益指标</w:t>
            </w:r>
          </w:p>
        </w:tc>
        <w:tc>
          <w:tcPr>
            <w:tcW w:w="216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社会效益指标</w:t>
            </w:r>
          </w:p>
        </w:tc>
        <w:tc>
          <w:tcPr>
            <w:tcW w:w="310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为市民提供舒适的环境</w:t>
            </w:r>
          </w:p>
        </w:tc>
        <w:tc>
          <w:tcPr>
            <w:tcW w:w="181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好</w:t>
            </w:r>
          </w:p>
        </w:tc>
      </w:tr>
      <w:tr w:rsidR="000E4E2E">
        <w:trPr>
          <w:trHeight w:val="615"/>
          <w:jc w:val="center"/>
        </w:trPr>
        <w:tc>
          <w:tcPr>
            <w:tcW w:w="1291" w:type="dxa"/>
            <w:vMerge/>
            <w:tcBorders>
              <w:top w:val="nil"/>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16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环境效益指标</w:t>
            </w:r>
          </w:p>
        </w:tc>
        <w:tc>
          <w:tcPr>
            <w:tcW w:w="310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改善城市换进</w:t>
            </w:r>
          </w:p>
        </w:tc>
        <w:tc>
          <w:tcPr>
            <w:tcW w:w="181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良好</w:t>
            </w:r>
          </w:p>
        </w:tc>
      </w:tr>
      <w:tr w:rsidR="000E4E2E">
        <w:trPr>
          <w:trHeight w:val="480"/>
          <w:jc w:val="center"/>
        </w:trPr>
        <w:tc>
          <w:tcPr>
            <w:tcW w:w="1291" w:type="dxa"/>
            <w:vMerge/>
            <w:tcBorders>
              <w:top w:val="nil"/>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16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可持续影响指标</w:t>
            </w:r>
          </w:p>
        </w:tc>
        <w:tc>
          <w:tcPr>
            <w:tcW w:w="310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服务可持续发展</w:t>
            </w:r>
          </w:p>
        </w:tc>
        <w:tc>
          <w:tcPr>
            <w:tcW w:w="181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可持续</w:t>
            </w:r>
          </w:p>
        </w:tc>
      </w:tr>
      <w:tr w:rsidR="000E4E2E">
        <w:trPr>
          <w:trHeight w:val="675"/>
          <w:jc w:val="center"/>
        </w:trPr>
        <w:tc>
          <w:tcPr>
            <w:tcW w:w="1291" w:type="dxa"/>
            <w:vMerge/>
            <w:tcBorders>
              <w:top w:val="nil"/>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16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社会公众或服务对象满意度指标</w:t>
            </w:r>
          </w:p>
        </w:tc>
        <w:tc>
          <w:tcPr>
            <w:tcW w:w="310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调查满意度</w:t>
            </w:r>
          </w:p>
        </w:tc>
        <w:tc>
          <w:tcPr>
            <w:tcW w:w="1819"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90%以上</w:t>
            </w:r>
          </w:p>
        </w:tc>
      </w:tr>
    </w:tbl>
    <w:p w:rsidR="000E4E2E" w:rsidRDefault="00046F11">
      <w:pPr>
        <w:spacing w:line="520" w:lineRule="exact"/>
        <w:jc w:val="center"/>
        <w:rPr>
          <w:rFonts w:ascii="仿宋" w:eastAsia="仿宋" w:hAnsi="仿宋"/>
          <w:bCs/>
          <w:color w:val="000000" w:themeColor="text1"/>
          <w:sz w:val="28"/>
          <w:szCs w:val="28"/>
        </w:rPr>
      </w:pPr>
      <w:r>
        <w:rPr>
          <w:rFonts w:ascii="仿宋" w:eastAsia="仿宋" w:hAnsi="仿宋" w:hint="eastAsia"/>
          <w:bCs/>
          <w:color w:val="000000" w:themeColor="text1"/>
          <w:sz w:val="28"/>
          <w:szCs w:val="28"/>
        </w:rPr>
        <w:t>武昌江滩运行维护管理项目绩效指标设置情况如下：</w:t>
      </w:r>
    </w:p>
    <w:tbl>
      <w:tblPr>
        <w:tblW w:w="8379" w:type="dxa"/>
        <w:jc w:val="center"/>
        <w:tblLayout w:type="fixed"/>
        <w:tblLook w:val="04A0" w:firstRow="1" w:lastRow="0" w:firstColumn="1" w:lastColumn="0" w:noHBand="0" w:noVBand="1"/>
      </w:tblPr>
      <w:tblGrid>
        <w:gridCol w:w="1291"/>
        <w:gridCol w:w="2268"/>
        <w:gridCol w:w="2977"/>
        <w:gridCol w:w="1843"/>
      </w:tblGrid>
      <w:tr w:rsidR="000E4E2E">
        <w:trPr>
          <w:trHeight w:val="480"/>
          <w:tblHeader/>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000000" w:themeColor="text1"/>
                <w:kern w:val="0"/>
                <w:sz w:val="24"/>
              </w:rPr>
            </w:pPr>
            <w:r>
              <w:rPr>
                <w:rFonts w:ascii="仿宋" w:eastAsia="仿宋" w:hAnsi="仿宋" w:cs="仿宋" w:hint="eastAsia"/>
                <w:color w:val="000000" w:themeColor="text1"/>
                <w:kern w:val="0"/>
                <w:sz w:val="24"/>
              </w:rPr>
              <w:t>一级指标</w:t>
            </w:r>
          </w:p>
        </w:tc>
        <w:tc>
          <w:tcPr>
            <w:tcW w:w="2268"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000000" w:themeColor="text1"/>
                <w:kern w:val="0"/>
                <w:sz w:val="24"/>
              </w:rPr>
            </w:pPr>
            <w:r>
              <w:rPr>
                <w:rFonts w:ascii="仿宋" w:eastAsia="仿宋" w:hAnsi="仿宋" w:cs="仿宋" w:hint="eastAsia"/>
                <w:color w:val="000000" w:themeColor="text1"/>
                <w:kern w:val="0"/>
                <w:sz w:val="24"/>
              </w:rPr>
              <w:t>二级指标</w:t>
            </w:r>
          </w:p>
        </w:tc>
        <w:tc>
          <w:tcPr>
            <w:tcW w:w="2977"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000000" w:themeColor="text1"/>
                <w:kern w:val="0"/>
                <w:sz w:val="24"/>
              </w:rPr>
            </w:pPr>
            <w:r>
              <w:rPr>
                <w:rFonts w:ascii="仿宋" w:eastAsia="仿宋" w:hAnsi="仿宋" w:cs="仿宋" w:hint="eastAsia"/>
                <w:color w:val="000000" w:themeColor="text1"/>
                <w:kern w:val="0"/>
                <w:sz w:val="24"/>
              </w:rPr>
              <w:t>指标内容</w:t>
            </w:r>
          </w:p>
        </w:tc>
        <w:tc>
          <w:tcPr>
            <w:tcW w:w="1843"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000000" w:themeColor="text1"/>
                <w:kern w:val="0"/>
                <w:sz w:val="24"/>
              </w:rPr>
            </w:pPr>
            <w:r>
              <w:rPr>
                <w:rFonts w:ascii="仿宋" w:eastAsia="仿宋" w:hAnsi="仿宋" w:cs="仿宋" w:hint="eastAsia"/>
                <w:color w:val="000000" w:themeColor="text1"/>
                <w:kern w:val="0"/>
                <w:sz w:val="24"/>
              </w:rPr>
              <w:t>指标值</w:t>
            </w:r>
          </w:p>
        </w:tc>
      </w:tr>
      <w:tr w:rsidR="000E4E2E">
        <w:trPr>
          <w:trHeight w:val="975"/>
          <w:jc w:val="center"/>
        </w:trPr>
        <w:tc>
          <w:tcPr>
            <w:tcW w:w="1291" w:type="dxa"/>
            <w:vMerge w:val="restart"/>
            <w:tcBorders>
              <w:top w:val="nil"/>
              <w:left w:val="single" w:sz="4" w:space="0" w:color="auto"/>
              <w:bottom w:val="nil"/>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产出指标</w:t>
            </w: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数量指标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江滩面积</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武昌片</w:t>
            </w:r>
          </w:p>
        </w:tc>
      </w:tr>
      <w:tr w:rsidR="000E4E2E">
        <w:trPr>
          <w:trHeight w:val="495"/>
          <w:jc w:val="center"/>
        </w:trPr>
        <w:tc>
          <w:tcPr>
            <w:tcW w:w="1291" w:type="dxa"/>
            <w:vMerge/>
            <w:tcBorders>
              <w:top w:val="nil"/>
              <w:left w:val="single" w:sz="4" w:space="0" w:color="auto"/>
              <w:bottom w:val="nil"/>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质量指标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园区设施状态</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设施正常运行率95%以上</w:t>
            </w:r>
          </w:p>
        </w:tc>
      </w:tr>
      <w:tr w:rsidR="000E4E2E">
        <w:trPr>
          <w:trHeight w:val="480"/>
          <w:jc w:val="center"/>
        </w:trPr>
        <w:tc>
          <w:tcPr>
            <w:tcW w:w="1291" w:type="dxa"/>
            <w:vMerge/>
            <w:tcBorders>
              <w:top w:val="nil"/>
              <w:left w:val="single" w:sz="4" w:space="0" w:color="auto"/>
              <w:bottom w:val="nil"/>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时效指标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当年</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一年</w:t>
            </w:r>
          </w:p>
        </w:tc>
      </w:tr>
      <w:tr w:rsidR="000E4E2E">
        <w:trPr>
          <w:trHeight w:val="465"/>
          <w:jc w:val="center"/>
        </w:trPr>
        <w:tc>
          <w:tcPr>
            <w:tcW w:w="1291" w:type="dxa"/>
            <w:vMerge/>
            <w:tcBorders>
              <w:top w:val="nil"/>
              <w:left w:val="single" w:sz="4" w:space="0" w:color="auto"/>
              <w:bottom w:val="nil"/>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成本指标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控制在预算内</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1300</w:t>
            </w:r>
          </w:p>
        </w:tc>
      </w:tr>
      <w:tr w:rsidR="000E4E2E">
        <w:trPr>
          <w:trHeight w:val="585"/>
          <w:jc w:val="center"/>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E4E2E" w:rsidRDefault="00046F11">
            <w:pPr>
              <w:jc w:val="center"/>
              <w:rPr>
                <w:rFonts w:ascii="仿宋" w:eastAsia="仿宋" w:hAnsi="仿宋" w:cs="宋体"/>
                <w:color w:val="FF0000"/>
                <w:kern w:val="0"/>
                <w:sz w:val="24"/>
              </w:rPr>
            </w:pPr>
            <w:r>
              <w:rPr>
                <w:rFonts w:ascii="仿宋" w:eastAsia="仿宋" w:hAnsi="仿宋" w:cs="宋体" w:hint="eastAsia"/>
                <w:color w:val="000000" w:themeColor="text1"/>
                <w:kern w:val="0"/>
                <w:sz w:val="24"/>
              </w:rPr>
              <w:t>效益指标</w:t>
            </w: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社会效益指标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为市民提供舒适的环境</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好</w:t>
            </w:r>
          </w:p>
        </w:tc>
      </w:tr>
      <w:tr w:rsidR="000E4E2E">
        <w:trPr>
          <w:trHeight w:val="555"/>
          <w:jc w:val="center"/>
        </w:trPr>
        <w:tc>
          <w:tcPr>
            <w:tcW w:w="1291" w:type="dxa"/>
            <w:vMerge/>
            <w:tcBorders>
              <w:top w:val="single" w:sz="4" w:space="0" w:color="auto"/>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环境效益指标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改善城市换进</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良好</w:t>
            </w:r>
          </w:p>
        </w:tc>
      </w:tr>
      <w:tr w:rsidR="000E4E2E">
        <w:trPr>
          <w:trHeight w:val="480"/>
          <w:jc w:val="center"/>
        </w:trPr>
        <w:tc>
          <w:tcPr>
            <w:tcW w:w="1291" w:type="dxa"/>
            <w:vMerge/>
            <w:tcBorders>
              <w:top w:val="single" w:sz="4" w:space="0" w:color="auto"/>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可持续影响指标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服务可持续发展</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可持续</w:t>
            </w:r>
          </w:p>
        </w:tc>
      </w:tr>
      <w:tr w:rsidR="000E4E2E">
        <w:trPr>
          <w:trHeight w:val="420"/>
          <w:jc w:val="center"/>
        </w:trPr>
        <w:tc>
          <w:tcPr>
            <w:tcW w:w="1291" w:type="dxa"/>
            <w:vMerge/>
            <w:tcBorders>
              <w:top w:val="single" w:sz="4" w:space="0" w:color="auto"/>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社会公众或服务对象满意度指标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调查满意度</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90%以上</w:t>
            </w:r>
          </w:p>
        </w:tc>
      </w:tr>
    </w:tbl>
    <w:p w:rsidR="00BC6194" w:rsidRDefault="00BC6194">
      <w:pPr>
        <w:spacing w:line="520" w:lineRule="exact"/>
        <w:jc w:val="center"/>
        <w:rPr>
          <w:rFonts w:ascii="仿宋" w:eastAsia="仿宋" w:hAnsi="仿宋"/>
          <w:bCs/>
          <w:color w:val="000000" w:themeColor="text1"/>
          <w:sz w:val="28"/>
          <w:szCs w:val="28"/>
        </w:rPr>
      </w:pPr>
    </w:p>
    <w:p w:rsidR="000E4E2E" w:rsidRDefault="00046F11">
      <w:pPr>
        <w:spacing w:line="520" w:lineRule="exact"/>
        <w:jc w:val="center"/>
        <w:rPr>
          <w:rFonts w:ascii="仿宋" w:eastAsia="仿宋" w:hAnsi="仿宋"/>
          <w:bCs/>
          <w:color w:val="000000" w:themeColor="text1"/>
          <w:sz w:val="28"/>
          <w:szCs w:val="28"/>
        </w:rPr>
      </w:pPr>
      <w:r>
        <w:rPr>
          <w:rFonts w:ascii="仿宋" w:eastAsia="仿宋" w:hAnsi="仿宋" w:hint="eastAsia"/>
          <w:bCs/>
          <w:color w:val="000000" w:themeColor="text1"/>
          <w:sz w:val="28"/>
          <w:szCs w:val="28"/>
        </w:rPr>
        <w:t>市管江滩运行维护管理项目绩效指标设置情况如下：</w:t>
      </w:r>
    </w:p>
    <w:tbl>
      <w:tblPr>
        <w:tblW w:w="8379" w:type="dxa"/>
        <w:jc w:val="center"/>
        <w:tblLayout w:type="fixed"/>
        <w:tblLook w:val="04A0" w:firstRow="1" w:lastRow="0" w:firstColumn="1" w:lastColumn="0" w:noHBand="0" w:noVBand="1"/>
      </w:tblPr>
      <w:tblGrid>
        <w:gridCol w:w="1291"/>
        <w:gridCol w:w="2268"/>
        <w:gridCol w:w="2977"/>
        <w:gridCol w:w="1843"/>
      </w:tblGrid>
      <w:tr w:rsidR="000E4E2E">
        <w:trPr>
          <w:trHeight w:val="480"/>
          <w:tblHeader/>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一级指标</w:t>
            </w:r>
          </w:p>
        </w:tc>
        <w:tc>
          <w:tcPr>
            <w:tcW w:w="2268"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二级指标</w:t>
            </w:r>
          </w:p>
        </w:tc>
        <w:tc>
          <w:tcPr>
            <w:tcW w:w="2977"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指标内容</w:t>
            </w:r>
          </w:p>
        </w:tc>
        <w:tc>
          <w:tcPr>
            <w:tcW w:w="1843"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指标值</w:t>
            </w:r>
          </w:p>
        </w:tc>
      </w:tr>
      <w:tr w:rsidR="000E4E2E">
        <w:trPr>
          <w:trHeight w:val="590"/>
          <w:jc w:val="center"/>
        </w:trPr>
        <w:tc>
          <w:tcPr>
            <w:tcW w:w="1291" w:type="dxa"/>
            <w:vMerge w:val="restart"/>
            <w:tcBorders>
              <w:top w:val="nil"/>
              <w:left w:val="single" w:sz="4" w:space="0" w:color="auto"/>
              <w:bottom w:val="nil"/>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产出指标</w:t>
            </w: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数量指标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江滩面积</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汉口、汉阳</w:t>
            </w:r>
          </w:p>
        </w:tc>
      </w:tr>
      <w:tr w:rsidR="000E4E2E">
        <w:trPr>
          <w:trHeight w:val="480"/>
          <w:jc w:val="center"/>
        </w:trPr>
        <w:tc>
          <w:tcPr>
            <w:tcW w:w="1291" w:type="dxa"/>
            <w:vMerge/>
            <w:tcBorders>
              <w:top w:val="nil"/>
              <w:left w:val="single" w:sz="4" w:space="0" w:color="auto"/>
              <w:bottom w:val="nil"/>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质量指标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园区设施状态</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设施正常运行率95%以上</w:t>
            </w:r>
          </w:p>
        </w:tc>
      </w:tr>
      <w:tr w:rsidR="000E4E2E">
        <w:trPr>
          <w:trHeight w:val="480"/>
          <w:jc w:val="center"/>
        </w:trPr>
        <w:tc>
          <w:tcPr>
            <w:tcW w:w="1291" w:type="dxa"/>
            <w:vMerge/>
            <w:tcBorders>
              <w:top w:val="nil"/>
              <w:left w:val="single" w:sz="4" w:space="0" w:color="auto"/>
              <w:bottom w:val="nil"/>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时效指标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当年</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一年</w:t>
            </w:r>
          </w:p>
        </w:tc>
      </w:tr>
      <w:tr w:rsidR="000E4E2E">
        <w:trPr>
          <w:trHeight w:val="480"/>
          <w:jc w:val="center"/>
        </w:trPr>
        <w:tc>
          <w:tcPr>
            <w:tcW w:w="1291" w:type="dxa"/>
            <w:vMerge/>
            <w:tcBorders>
              <w:top w:val="nil"/>
              <w:left w:val="single" w:sz="4" w:space="0" w:color="auto"/>
              <w:bottom w:val="nil"/>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成本指标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控制在预算内</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1300</w:t>
            </w:r>
          </w:p>
        </w:tc>
      </w:tr>
      <w:tr w:rsidR="000E4E2E">
        <w:trPr>
          <w:trHeight w:val="555"/>
          <w:jc w:val="center"/>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E4E2E" w:rsidRDefault="00046F11">
            <w:pPr>
              <w:jc w:val="center"/>
              <w:rPr>
                <w:rFonts w:ascii="仿宋" w:eastAsia="仿宋" w:hAnsi="仿宋" w:cs="宋体"/>
                <w:color w:val="FF0000"/>
                <w:kern w:val="0"/>
                <w:sz w:val="24"/>
              </w:rPr>
            </w:pPr>
            <w:r>
              <w:rPr>
                <w:rFonts w:ascii="仿宋" w:eastAsia="仿宋" w:hAnsi="仿宋" w:cs="宋体" w:hint="eastAsia"/>
                <w:color w:val="000000" w:themeColor="text1"/>
                <w:kern w:val="0"/>
                <w:sz w:val="24"/>
              </w:rPr>
              <w:t>效益指标</w:t>
            </w: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社会效益指标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为市民提供舒适的环境</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好</w:t>
            </w:r>
          </w:p>
        </w:tc>
      </w:tr>
      <w:tr w:rsidR="000E4E2E">
        <w:trPr>
          <w:trHeight w:val="585"/>
          <w:jc w:val="center"/>
        </w:trPr>
        <w:tc>
          <w:tcPr>
            <w:tcW w:w="1291" w:type="dxa"/>
            <w:vMerge/>
            <w:tcBorders>
              <w:top w:val="single" w:sz="4" w:space="0" w:color="auto"/>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环境效益指标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改善城市环境</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良好</w:t>
            </w:r>
          </w:p>
        </w:tc>
      </w:tr>
      <w:tr w:rsidR="000E4E2E">
        <w:trPr>
          <w:trHeight w:val="480"/>
          <w:jc w:val="center"/>
        </w:trPr>
        <w:tc>
          <w:tcPr>
            <w:tcW w:w="1291" w:type="dxa"/>
            <w:vMerge/>
            <w:tcBorders>
              <w:top w:val="single" w:sz="4" w:space="0" w:color="auto"/>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可持续影响指标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服务可持续发展</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可持续</w:t>
            </w:r>
          </w:p>
        </w:tc>
      </w:tr>
      <w:tr w:rsidR="000E4E2E">
        <w:trPr>
          <w:trHeight w:val="585"/>
          <w:jc w:val="center"/>
        </w:trPr>
        <w:tc>
          <w:tcPr>
            <w:tcW w:w="1291" w:type="dxa"/>
            <w:vMerge/>
            <w:tcBorders>
              <w:top w:val="single" w:sz="4" w:space="0" w:color="auto"/>
              <w:left w:val="single" w:sz="4" w:space="0" w:color="auto"/>
              <w:bottom w:val="single" w:sz="4" w:space="0" w:color="auto"/>
              <w:right w:val="single" w:sz="4" w:space="0" w:color="auto"/>
            </w:tcBorders>
            <w:vAlign w:val="center"/>
          </w:tcPr>
          <w:p w:rsidR="000E4E2E" w:rsidRDefault="000E4E2E">
            <w:pPr>
              <w:jc w:val="center"/>
              <w:rPr>
                <w:rFonts w:ascii="仿宋" w:eastAsia="仿宋" w:hAnsi="仿宋" w:cs="宋体"/>
                <w:color w:val="FF0000"/>
                <w:kern w:val="0"/>
                <w:sz w:val="24"/>
              </w:rPr>
            </w:pPr>
          </w:p>
        </w:tc>
        <w:tc>
          <w:tcPr>
            <w:tcW w:w="2268"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社会公众或服务对象满意度指标</w:t>
            </w:r>
          </w:p>
        </w:tc>
        <w:tc>
          <w:tcPr>
            <w:tcW w:w="2977"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调查满意度</w:t>
            </w:r>
          </w:p>
        </w:tc>
        <w:tc>
          <w:tcPr>
            <w:tcW w:w="1843"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仿宋" w:eastAsia="仿宋" w:hAnsi="仿宋" w:cs="宋体"/>
                <w:color w:val="FF0000"/>
                <w:kern w:val="0"/>
                <w:sz w:val="24"/>
              </w:rPr>
            </w:pPr>
            <w:r>
              <w:rPr>
                <w:rFonts w:ascii="仿宋" w:eastAsia="仿宋" w:hAnsi="仿宋" w:cs="仿宋" w:hint="eastAsia"/>
                <w:color w:val="000000"/>
                <w:kern w:val="0"/>
                <w:sz w:val="24"/>
              </w:rPr>
              <w:t>90%以上</w:t>
            </w:r>
          </w:p>
        </w:tc>
      </w:tr>
    </w:tbl>
    <w:p w:rsidR="000E4E2E" w:rsidRDefault="00046F11">
      <w:pPr>
        <w:spacing w:line="520" w:lineRule="exact"/>
        <w:jc w:val="center"/>
        <w:rPr>
          <w:rFonts w:ascii="仿宋" w:eastAsia="仿宋" w:hAnsi="仿宋"/>
          <w:bCs/>
          <w:color w:val="000000" w:themeColor="text1"/>
          <w:sz w:val="28"/>
          <w:szCs w:val="28"/>
        </w:rPr>
      </w:pPr>
      <w:r>
        <w:rPr>
          <w:rFonts w:ascii="仿宋" w:eastAsia="仿宋" w:hAnsi="仿宋" w:hint="eastAsia"/>
          <w:bCs/>
          <w:color w:val="000000" w:themeColor="text1"/>
          <w:sz w:val="28"/>
          <w:szCs w:val="28"/>
        </w:rPr>
        <w:t>横渡长江博物馆运行维护管理项目绩效指标设置情况如下：</w:t>
      </w:r>
    </w:p>
    <w:tbl>
      <w:tblPr>
        <w:tblW w:w="8353" w:type="dxa"/>
        <w:jc w:val="center"/>
        <w:tblLayout w:type="fixed"/>
        <w:tblCellMar>
          <w:top w:w="15" w:type="dxa"/>
          <w:left w:w="15" w:type="dxa"/>
          <w:bottom w:w="15" w:type="dxa"/>
          <w:right w:w="15" w:type="dxa"/>
        </w:tblCellMar>
        <w:tblLook w:val="04A0" w:firstRow="1" w:lastRow="0" w:firstColumn="1" w:lastColumn="0" w:noHBand="0" w:noVBand="1"/>
      </w:tblPr>
      <w:tblGrid>
        <w:gridCol w:w="1267"/>
        <w:gridCol w:w="2295"/>
        <w:gridCol w:w="2970"/>
        <w:gridCol w:w="1821"/>
      </w:tblGrid>
      <w:tr w:rsidR="000E4E2E">
        <w:trPr>
          <w:trHeight w:val="480"/>
          <w:jc w:val="center"/>
        </w:trPr>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一级指标</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二级指标</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指标内容</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指标值</w:t>
            </w:r>
          </w:p>
        </w:tc>
      </w:tr>
      <w:tr w:rsidR="000E4E2E">
        <w:trPr>
          <w:trHeight w:val="480"/>
          <w:jc w:val="center"/>
        </w:trPr>
        <w:tc>
          <w:tcPr>
            <w:tcW w:w="12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产出指标</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质量指标</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设施状态</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设施正常运行</w:t>
            </w:r>
          </w:p>
        </w:tc>
      </w:tr>
      <w:tr w:rsidR="000E4E2E">
        <w:trPr>
          <w:trHeight w:val="480"/>
          <w:jc w:val="center"/>
        </w:trPr>
        <w:tc>
          <w:tcPr>
            <w:tcW w:w="12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E4E2E">
            <w:pPr>
              <w:jc w:val="center"/>
              <w:rPr>
                <w:rFonts w:ascii="仿宋" w:eastAsia="仿宋" w:hAnsi="仿宋" w:cs="仿宋"/>
                <w:color w:val="000000"/>
                <w:sz w:val="24"/>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时效指标</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当年</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一年</w:t>
            </w:r>
          </w:p>
        </w:tc>
      </w:tr>
      <w:tr w:rsidR="000E4E2E">
        <w:trPr>
          <w:trHeight w:val="480"/>
          <w:jc w:val="center"/>
        </w:trPr>
        <w:tc>
          <w:tcPr>
            <w:tcW w:w="12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E4E2E">
            <w:pPr>
              <w:jc w:val="center"/>
              <w:rPr>
                <w:rFonts w:ascii="仿宋" w:eastAsia="仿宋" w:hAnsi="仿宋" w:cs="仿宋"/>
                <w:color w:val="000000"/>
                <w:sz w:val="24"/>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成本指标</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控制在预算内</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230</w:t>
            </w:r>
          </w:p>
        </w:tc>
      </w:tr>
      <w:tr w:rsidR="000E4E2E">
        <w:trPr>
          <w:trHeight w:val="480"/>
          <w:jc w:val="center"/>
        </w:trPr>
        <w:tc>
          <w:tcPr>
            <w:tcW w:w="12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效益指标</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社会效益指标</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扩大宣传横渡长江影响</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好</w:t>
            </w:r>
          </w:p>
        </w:tc>
      </w:tr>
      <w:tr w:rsidR="000E4E2E">
        <w:trPr>
          <w:trHeight w:val="480"/>
          <w:jc w:val="center"/>
        </w:trPr>
        <w:tc>
          <w:tcPr>
            <w:tcW w:w="12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E4E2E">
            <w:pPr>
              <w:jc w:val="center"/>
              <w:rPr>
                <w:rFonts w:ascii="仿宋" w:eastAsia="仿宋" w:hAnsi="仿宋" w:cs="仿宋"/>
                <w:color w:val="000000"/>
                <w:sz w:val="24"/>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环境效益指标</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改善城市环境</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良好</w:t>
            </w:r>
          </w:p>
        </w:tc>
      </w:tr>
      <w:tr w:rsidR="000E4E2E">
        <w:trPr>
          <w:trHeight w:val="480"/>
          <w:jc w:val="center"/>
        </w:trPr>
        <w:tc>
          <w:tcPr>
            <w:tcW w:w="12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E4E2E">
            <w:pPr>
              <w:jc w:val="center"/>
              <w:rPr>
                <w:rFonts w:ascii="仿宋" w:eastAsia="仿宋" w:hAnsi="仿宋" w:cs="仿宋"/>
                <w:color w:val="000000"/>
                <w:sz w:val="24"/>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可持续影响指标</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服务可持续发展</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可持续</w:t>
            </w:r>
          </w:p>
        </w:tc>
      </w:tr>
      <w:tr w:rsidR="000E4E2E" w:rsidTr="00BC6194">
        <w:trPr>
          <w:trHeight w:val="1218"/>
          <w:jc w:val="center"/>
        </w:trPr>
        <w:tc>
          <w:tcPr>
            <w:tcW w:w="12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E4E2E">
            <w:pPr>
              <w:jc w:val="center"/>
              <w:rPr>
                <w:rFonts w:ascii="仿宋" w:eastAsia="仿宋" w:hAnsi="仿宋" w:cs="仿宋"/>
                <w:color w:val="000000"/>
                <w:sz w:val="24"/>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社会公众或服务对象满意度指标</w:t>
            </w:r>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调查满意度</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90%以上</w:t>
            </w:r>
          </w:p>
        </w:tc>
      </w:tr>
    </w:tbl>
    <w:p w:rsidR="000E4E2E" w:rsidRDefault="00046F11">
      <w:pPr>
        <w:spacing w:line="520" w:lineRule="exact"/>
        <w:ind w:firstLineChars="200" w:firstLine="560"/>
        <w:outlineLvl w:val="1"/>
        <w:rPr>
          <w:rFonts w:ascii="仿宋" w:eastAsia="仿宋" w:hAnsi="仿宋"/>
          <w:bCs/>
          <w:sz w:val="28"/>
          <w:szCs w:val="28"/>
        </w:rPr>
      </w:pPr>
      <w:bookmarkStart w:id="6" w:name="_Toc517708012"/>
      <w:r>
        <w:rPr>
          <w:rFonts w:ascii="仿宋" w:eastAsia="仿宋" w:hAnsi="仿宋" w:hint="eastAsia"/>
          <w:bCs/>
          <w:sz w:val="28"/>
          <w:szCs w:val="28"/>
        </w:rPr>
        <w:t>（三）经费来源及支出情况</w:t>
      </w:r>
      <w:bookmarkEnd w:id="5"/>
      <w:bookmarkEnd w:id="6"/>
    </w:p>
    <w:p w:rsidR="000E4E2E" w:rsidRDefault="00046F11">
      <w:pPr>
        <w:spacing w:line="520" w:lineRule="exact"/>
        <w:ind w:firstLineChars="200" w:firstLine="560"/>
        <w:rPr>
          <w:rFonts w:ascii="宋体" w:eastAsia="宋体" w:hAnsi="宋体" w:cs="宋体"/>
          <w:color w:val="000000"/>
          <w:kern w:val="0"/>
          <w:sz w:val="22"/>
          <w:szCs w:val="22"/>
        </w:rPr>
      </w:pPr>
      <w:r>
        <w:rPr>
          <w:rFonts w:ascii="仿宋" w:eastAsia="仿宋" w:hAnsi="仿宋" w:hint="eastAsia"/>
          <w:bCs/>
          <w:sz w:val="28"/>
          <w:szCs w:val="28"/>
        </w:rPr>
        <w:t>2017年项目年初预算投资11901.15万元，其中一般公共预算财政拨款收入7295.12万元、其他收入3200万元、上年结转财政拨款1406.03万元。调整后预算数为13302.48万元（不含年初预算列在武汉市水务局本级的600万景观提升项目）。项目预算投资主要为：灾后水利设施建设项目1101.25万元、武昌江滩运行维护管理1482.60万元、江滩堤防设施维修1300万元、横渡长江博物馆运行维护管理230万元、市管江滩运行维护管理7628.89万元、横渡长江文化园布展158.41万元。</w:t>
      </w:r>
    </w:p>
    <w:p w:rsidR="00000669" w:rsidRDefault="00046F11" w:rsidP="00000669">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截止2017年12月31日，预算项目支出13281.48万元，其中：灾后水利设施建设项目1101.25万元、武昌江滩运行维护管理1482.60万元、江滩堤防设施维修1279万元、横渡长江博物馆运行维护管理230万元、市管江滩运行维护管理4428.89万元、横渡长江文化园布展158.32万元、经营及项目往来支出4601.42万元。</w:t>
      </w:r>
      <w:bookmarkStart w:id="7" w:name="_Toc511502532"/>
      <w:bookmarkStart w:id="8" w:name="_Toc7334"/>
      <w:bookmarkStart w:id="9" w:name="_Toc517708013"/>
    </w:p>
    <w:p w:rsidR="000E4E2E" w:rsidRDefault="00046F11" w:rsidP="00000669">
      <w:pPr>
        <w:spacing w:line="520" w:lineRule="exact"/>
        <w:ind w:firstLineChars="200" w:firstLine="562"/>
        <w:rPr>
          <w:rFonts w:ascii="黑体" w:eastAsia="黑体" w:hAnsi="黑体" w:cs="黑体"/>
          <w:b/>
          <w:bCs/>
          <w:sz w:val="28"/>
          <w:szCs w:val="28"/>
        </w:rPr>
      </w:pPr>
      <w:r>
        <w:rPr>
          <w:rFonts w:ascii="黑体" w:eastAsia="黑体" w:hAnsi="黑体" w:cs="黑体" w:hint="eastAsia"/>
          <w:b/>
          <w:bCs/>
          <w:sz w:val="28"/>
          <w:szCs w:val="28"/>
        </w:rPr>
        <w:lastRenderedPageBreak/>
        <w:t>二、绩效评价工作情况</w:t>
      </w:r>
      <w:bookmarkEnd w:id="7"/>
      <w:bookmarkEnd w:id="8"/>
      <w:bookmarkEnd w:id="9"/>
    </w:p>
    <w:p w:rsidR="000E4E2E" w:rsidRDefault="00046F11">
      <w:pPr>
        <w:spacing w:line="560" w:lineRule="exact"/>
        <w:ind w:firstLineChars="200" w:firstLine="560"/>
        <w:outlineLvl w:val="1"/>
        <w:rPr>
          <w:rFonts w:ascii="仿宋" w:eastAsia="仿宋" w:hAnsi="仿宋"/>
          <w:sz w:val="28"/>
          <w:szCs w:val="28"/>
        </w:rPr>
      </w:pPr>
      <w:bookmarkStart w:id="10" w:name="_Toc511502533"/>
      <w:bookmarkStart w:id="11" w:name="_Toc19011"/>
      <w:bookmarkStart w:id="12" w:name="_Toc517708014"/>
      <w:r>
        <w:rPr>
          <w:rFonts w:ascii="仿宋" w:eastAsia="仿宋" w:hAnsi="仿宋" w:hint="eastAsia"/>
          <w:sz w:val="28"/>
          <w:szCs w:val="28"/>
        </w:rPr>
        <w:t>（一）绩效评价目的</w:t>
      </w:r>
      <w:bookmarkEnd w:id="10"/>
      <w:bookmarkEnd w:id="11"/>
      <w:bookmarkEnd w:id="12"/>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通过绩效评价，形成真实完整、数据准确、分析透彻、逻辑清晰、客观公正的绩效评价结论，为后期武汉市水务局强化预算绩效管理提供重要依据。通过绩效评价，从效率的角度分析，准确掌握</w:t>
      </w:r>
      <w:r>
        <w:rPr>
          <w:rFonts w:ascii="仿宋" w:eastAsia="仿宋" w:hAnsi="仿宋" w:hint="eastAsia"/>
          <w:bCs/>
          <w:sz w:val="28"/>
          <w:szCs w:val="28"/>
        </w:rPr>
        <w:t>项目</w:t>
      </w:r>
      <w:r>
        <w:rPr>
          <w:rFonts w:ascii="仿宋" w:eastAsia="仿宋" w:hAnsi="仿宋" w:hint="eastAsia"/>
          <w:sz w:val="28"/>
          <w:szCs w:val="28"/>
        </w:rPr>
        <w:t>的实施情况、资金使用情况，发现项目实施的困难和问题，总结项目实施的经验和教训，为项目实施的进一步深化提供有益帮助。</w:t>
      </w:r>
    </w:p>
    <w:p w:rsidR="000E4E2E" w:rsidRDefault="00046F11">
      <w:pPr>
        <w:spacing w:line="520" w:lineRule="exact"/>
        <w:ind w:firstLineChars="200" w:firstLine="560"/>
        <w:outlineLvl w:val="1"/>
        <w:rPr>
          <w:rFonts w:ascii="仿宋" w:eastAsia="仿宋" w:hAnsi="仿宋"/>
          <w:sz w:val="28"/>
          <w:szCs w:val="28"/>
        </w:rPr>
      </w:pPr>
      <w:bookmarkStart w:id="13" w:name="_Toc30201"/>
      <w:bookmarkStart w:id="14" w:name="_Toc511502534"/>
      <w:bookmarkStart w:id="15" w:name="_Toc517708015"/>
      <w:r>
        <w:rPr>
          <w:rFonts w:ascii="仿宋" w:eastAsia="仿宋" w:hAnsi="仿宋" w:hint="eastAsia"/>
          <w:sz w:val="28"/>
          <w:szCs w:val="28"/>
        </w:rPr>
        <w:t>（二）绩效评价框架</w:t>
      </w:r>
      <w:bookmarkEnd w:id="13"/>
      <w:bookmarkEnd w:id="14"/>
      <w:bookmarkEnd w:id="15"/>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绩效评价框架是开展绩效评价的核心，绩效评价框架包括各级指标名称、权重、指标解释、指标说明、目标值、绩效标准和评分细则等方面。</w:t>
      </w:r>
      <w:r>
        <w:rPr>
          <w:rFonts w:ascii="仿宋" w:eastAsia="仿宋" w:hAnsi="仿宋" w:hint="eastAsia"/>
          <w:bCs/>
          <w:sz w:val="28"/>
          <w:szCs w:val="28"/>
        </w:rPr>
        <w:t>项目</w:t>
      </w:r>
      <w:r>
        <w:rPr>
          <w:rFonts w:ascii="仿宋" w:eastAsia="仿宋" w:hAnsi="仿宋" w:hint="eastAsia"/>
          <w:sz w:val="28"/>
          <w:szCs w:val="28"/>
        </w:rPr>
        <w:t>绩效评价指标体系的设计参照《湖北省财政支出绩效评价指标体系框架》，投入和过程在此框架的基础上结合项目的特点适当进行完善，产出和效果根据项目特点进行了细化。</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1.评价指标</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第一步，采用层次分析法，建立评价指标库。绩效评价将指标分为投入、过程、产出和效果四个层次，最终形成一个由多个相互联系的指标组成的多层次指标体系。</w:t>
      </w:r>
      <w:r w:rsidR="003A7AB6">
        <w:rPr>
          <w:rFonts w:ascii="仿宋" w:eastAsia="仿宋" w:hAnsi="仿宋"/>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8" o:spid="_x0000_s1026" type="#_x0000_t87" style="position:absolute;left:0;text-align:left;margin-left:-267.75pt;margin-top:12pt;width:6pt;height:312pt;z-index:251659264;mso-position-horizontal-relative:text;mso-position-vertical-relative:text" o:gfxdata="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Vfbv02wAAAAwBAAAPAAAAAAAAAAEAIAAAACIAAABkcnMvZG93bnJldi54bWxQSwEC&#10;FAAUAAAACACHTuJAhwOp6/EBAAD3AwAADgAAAAAAAAABACAAAAAqAQAAZHJzL2Uyb0RvYy54bWxQ&#10;SwUGAAAAAAYABgBZAQAAjQUAAAAA&#10;" adj="1799,11150"/>
        </w:pict>
      </w:r>
      <w:r>
        <w:rPr>
          <w:rFonts w:ascii="仿宋" w:eastAsia="仿宋" w:hAnsi="仿宋" w:hint="eastAsia"/>
          <w:sz w:val="28"/>
          <w:szCs w:val="28"/>
        </w:rPr>
        <w:t>第二步，采用专家调查法，确定评价指标。评价指标体系建立后，邀请专家对指标库中的指标进行分析、权衡、补充、选择，最后确定评价指标。在此基础上最终形成项目绩效评价指标体系，设置了4个一级指标、11个二级指标、22个三级指标。</w:t>
      </w:r>
    </w:p>
    <w:p w:rsidR="000E4E2E" w:rsidRDefault="00046F11">
      <w:pPr>
        <w:tabs>
          <w:tab w:val="center" w:pos="4549"/>
        </w:tabs>
        <w:spacing w:line="360" w:lineRule="auto"/>
        <w:ind w:firstLineChars="250" w:firstLine="700"/>
        <w:jc w:val="left"/>
        <w:rPr>
          <w:rFonts w:ascii="仿宋" w:eastAsia="仿宋" w:hAnsi="仿宋"/>
          <w:sz w:val="28"/>
          <w:szCs w:val="28"/>
        </w:rPr>
      </w:pPr>
      <w:r>
        <w:rPr>
          <w:rFonts w:ascii="宋体" w:hAnsi="宋体" w:hint="eastAsia"/>
          <w:sz w:val="28"/>
          <w:szCs w:val="28"/>
        </w:rPr>
        <w:t>2.</w:t>
      </w:r>
      <w:r>
        <w:rPr>
          <w:rFonts w:ascii="仿宋" w:eastAsia="仿宋" w:hAnsi="仿宋" w:hint="eastAsia"/>
          <w:sz w:val="28"/>
          <w:szCs w:val="28"/>
        </w:rPr>
        <w:t>权重</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根据本项目特点及各指标维度、类别考评内容，采用德尔菲法进行权重估计，并参考了评价领导小组及项目实施单位的意见，最终确定各个指标相对于项目总体绩效的权重分值。最终确的项目投入权重为12%，项目过程权重值占28%，项目产出权重值占30%，项</w:t>
      </w:r>
      <w:r>
        <w:rPr>
          <w:rFonts w:ascii="仿宋" w:eastAsia="仿宋" w:hAnsi="仿宋" w:hint="eastAsia"/>
          <w:sz w:val="28"/>
          <w:szCs w:val="28"/>
        </w:rPr>
        <w:lastRenderedPageBreak/>
        <w:t>目效益权重值占30%。</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3.指标说明</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bCs/>
          <w:sz w:val="28"/>
          <w:szCs w:val="28"/>
        </w:rPr>
        <w:t>项目</w:t>
      </w:r>
      <w:r>
        <w:rPr>
          <w:rFonts w:ascii="仿宋" w:eastAsia="仿宋" w:hAnsi="仿宋" w:hint="eastAsia"/>
          <w:sz w:val="28"/>
          <w:szCs w:val="28"/>
        </w:rPr>
        <w:t>绩效评价指标体系指标说明确定了三级指标评分的要点，指出定性指标的评价核心，定量指标的指标实现值的计算公式、数据口径，说明了22个三级指标设置的目的，指导三级指标评价的方向。</w:t>
      </w:r>
    </w:p>
    <w:p w:rsidR="000E4E2E" w:rsidRDefault="00046F11">
      <w:pPr>
        <w:spacing w:line="520" w:lineRule="exact"/>
        <w:ind w:firstLineChars="200" w:firstLine="560"/>
        <w:rPr>
          <w:rFonts w:ascii="仿宋" w:eastAsia="仿宋" w:hAnsi="仿宋"/>
          <w:sz w:val="28"/>
          <w:szCs w:val="28"/>
        </w:rPr>
      </w:pPr>
      <w:bookmarkStart w:id="16" w:name="_1460038730"/>
      <w:bookmarkStart w:id="17" w:name="_1460181815"/>
      <w:bookmarkStart w:id="18" w:name="_1460038655"/>
      <w:bookmarkStart w:id="19" w:name="_1460038714"/>
      <w:bookmarkStart w:id="20" w:name="_1460038687"/>
      <w:bookmarkStart w:id="21" w:name="_1460038659"/>
      <w:bookmarkEnd w:id="16"/>
      <w:bookmarkEnd w:id="17"/>
      <w:bookmarkEnd w:id="18"/>
      <w:bookmarkEnd w:id="19"/>
      <w:bookmarkEnd w:id="20"/>
      <w:bookmarkEnd w:id="21"/>
      <w:r>
        <w:rPr>
          <w:rFonts w:ascii="仿宋" w:eastAsia="仿宋" w:hAnsi="仿宋" w:hint="eastAsia"/>
          <w:sz w:val="28"/>
          <w:szCs w:val="28"/>
        </w:rPr>
        <w:t>4.指标目标值</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指标目标值是绩效评价指标的尺度，既要反映同类项目的先进水平，又要符合项目的实际绩效水平。</w:t>
      </w:r>
      <w:r>
        <w:rPr>
          <w:rFonts w:ascii="仿宋" w:eastAsia="仿宋" w:hAnsi="仿宋" w:hint="eastAsia"/>
          <w:bCs/>
          <w:sz w:val="28"/>
          <w:szCs w:val="28"/>
        </w:rPr>
        <w:t>项目</w:t>
      </w:r>
      <w:r>
        <w:rPr>
          <w:rFonts w:ascii="仿宋" w:eastAsia="仿宋" w:hAnsi="仿宋" w:hint="eastAsia"/>
          <w:sz w:val="28"/>
          <w:szCs w:val="28"/>
        </w:rPr>
        <w:t>绩效评价指标目标值以项目计划目标确定。</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5.绩效标准</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财政项目资金绩效评价，是以结果为导向的财政支出管理模式，绩效评价标准主要有计划标准、行业标准、历史标准、其他标准等，结合项目的特点，确定此次绩效评价指标标准为行业标准和计划标准。项目管理和财务管理采用国家财务相关法律法规，产出和效果指标采用计划指标值作为绩效评价标准。</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6.评分细则</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bCs/>
          <w:sz w:val="28"/>
          <w:szCs w:val="28"/>
        </w:rPr>
        <w:t>项目</w:t>
      </w:r>
      <w:r>
        <w:rPr>
          <w:rFonts w:ascii="仿宋" w:eastAsia="仿宋" w:hAnsi="仿宋" w:hint="eastAsia"/>
          <w:sz w:val="28"/>
          <w:szCs w:val="28"/>
        </w:rPr>
        <w:t>绩效评价指标体系中三级指标评分是在指标说明评分要点的基础上进行的，定性指标对评分要点分段量化得分，定量指标按量化量直接评分。通过项目实施单位项目档案、财务资料进行检查，结合问卷调查和实地考察情况，项目组对项目的实施进展情况对每个指标进行独立评价和打分，在此基础上形成项目的整体得分。</w:t>
      </w:r>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根据《湖北省财政项目资金绩效评价操作指南》中财政项目绩效评价结果级别评定相关要求，绩效评价总分值100分，根据综合评分结果，90分以上的为优秀、80-90分为良好，60-80分为中等，60分以下为差。</w:t>
      </w:r>
    </w:p>
    <w:p w:rsidR="000E4E2E" w:rsidRDefault="00046F11">
      <w:pPr>
        <w:spacing w:line="520" w:lineRule="exact"/>
        <w:ind w:firstLineChars="200" w:firstLine="560"/>
        <w:outlineLvl w:val="0"/>
        <w:rPr>
          <w:rFonts w:ascii="黑体" w:eastAsia="黑体" w:hAnsi="黑体" w:cs="黑体"/>
          <w:sz w:val="28"/>
          <w:szCs w:val="28"/>
        </w:rPr>
      </w:pPr>
      <w:bookmarkStart w:id="22" w:name="_Toc517708016"/>
      <w:bookmarkStart w:id="23" w:name="_Toc511502536"/>
      <w:r>
        <w:rPr>
          <w:rFonts w:ascii="黑体" w:eastAsia="黑体" w:hAnsi="黑体" w:cs="黑体" w:hint="eastAsia"/>
          <w:sz w:val="28"/>
          <w:szCs w:val="28"/>
        </w:rPr>
        <w:lastRenderedPageBreak/>
        <w:t>三、绩效分析及评价结论</w:t>
      </w:r>
      <w:bookmarkEnd w:id="22"/>
      <w:bookmarkEnd w:id="23"/>
    </w:p>
    <w:p w:rsidR="000E4E2E" w:rsidRDefault="00046F11">
      <w:pPr>
        <w:spacing w:line="520" w:lineRule="exact"/>
        <w:ind w:firstLineChars="200" w:firstLine="560"/>
        <w:outlineLvl w:val="1"/>
        <w:rPr>
          <w:rFonts w:ascii="仿宋" w:eastAsia="仿宋" w:hAnsi="仿宋"/>
          <w:sz w:val="28"/>
          <w:szCs w:val="28"/>
        </w:rPr>
      </w:pPr>
      <w:bookmarkStart w:id="24" w:name="_Toc8923"/>
      <w:bookmarkStart w:id="25" w:name="_Toc517708017"/>
      <w:bookmarkStart w:id="26" w:name="_Toc511502539"/>
      <w:r>
        <w:rPr>
          <w:rFonts w:ascii="仿宋" w:eastAsia="仿宋" w:hAnsi="仿宋" w:hint="eastAsia"/>
          <w:sz w:val="28"/>
          <w:szCs w:val="28"/>
        </w:rPr>
        <w:t>（一）</w:t>
      </w:r>
      <w:bookmarkEnd w:id="24"/>
      <w:r>
        <w:rPr>
          <w:rFonts w:ascii="仿宋" w:eastAsia="仿宋" w:hAnsi="仿宋" w:hint="eastAsia"/>
          <w:sz w:val="28"/>
          <w:szCs w:val="28"/>
        </w:rPr>
        <w:t>绩效分析及绩效指标完成情况</w:t>
      </w:r>
      <w:bookmarkEnd w:id="25"/>
      <w:bookmarkEnd w:id="26"/>
    </w:p>
    <w:p w:rsidR="000E4E2E" w:rsidRDefault="00046F11">
      <w:pPr>
        <w:spacing w:line="520" w:lineRule="exact"/>
        <w:outlineLvl w:val="2"/>
        <w:rPr>
          <w:rFonts w:ascii="仿宋" w:eastAsia="仿宋" w:hAnsi="仿宋"/>
          <w:bCs/>
          <w:sz w:val="28"/>
          <w:szCs w:val="28"/>
        </w:rPr>
      </w:pPr>
      <w:r>
        <w:rPr>
          <w:rFonts w:ascii="仿宋" w:eastAsia="仿宋" w:hAnsi="仿宋" w:hint="eastAsia"/>
          <w:bCs/>
          <w:sz w:val="28"/>
          <w:szCs w:val="28"/>
        </w:rPr>
        <w:t xml:space="preserve">    </w:t>
      </w:r>
      <w:bookmarkStart w:id="27" w:name="_Toc517708018"/>
      <w:r>
        <w:rPr>
          <w:rFonts w:ascii="仿宋" w:eastAsia="仿宋" w:hAnsi="仿宋" w:hint="eastAsia"/>
          <w:bCs/>
          <w:sz w:val="28"/>
          <w:szCs w:val="28"/>
        </w:rPr>
        <w:t>1.项目投入</w:t>
      </w:r>
      <w:bookmarkEnd w:id="27"/>
    </w:p>
    <w:p w:rsidR="000E4E2E" w:rsidRDefault="00046F11">
      <w:pPr>
        <w:spacing w:line="520" w:lineRule="exact"/>
        <w:ind w:firstLineChars="200" w:firstLine="560"/>
        <w:rPr>
          <w:rFonts w:ascii="仿宋" w:eastAsia="仿宋" w:hAnsi="仿宋"/>
          <w:sz w:val="28"/>
          <w:szCs w:val="28"/>
        </w:rPr>
      </w:pPr>
      <w:r>
        <w:rPr>
          <w:rFonts w:ascii="仿宋" w:eastAsia="仿宋" w:hAnsi="仿宋" w:hint="eastAsia"/>
          <w:sz w:val="28"/>
          <w:szCs w:val="28"/>
        </w:rPr>
        <w:t>本项指标总分为12分，实际得分11.50分，得分率95.83%，项目投入具体评价如下：</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（1）依据充分性</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w:t>
      </w:r>
      <w:r w:rsidR="002B0914">
        <w:rPr>
          <w:rFonts w:ascii="仿宋" w:eastAsia="仿宋" w:hAnsi="仿宋" w:hint="eastAsia"/>
          <w:bCs/>
          <w:sz w:val="28"/>
          <w:szCs w:val="28"/>
        </w:rPr>
        <w:t>年</w:t>
      </w:r>
      <w:r>
        <w:rPr>
          <w:rFonts w:ascii="仿宋" w:eastAsia="仿宋" w:hAnsi="仿宋" w:hint="eastAsia"/>
          <w:bCs/>
          <w:sz w:val="28"/>
          <w:szCs w:val="28"/>
        </w:rPr>
        <w:t>市管及武昌江滩运行维护管理、江滩堤防设施维修及灾后水利设施建设项目立项依据充分，与所属部门职能息息相关，项目申报的主要内容完整，虽列示了项目支出的具体使用内容，但测算依据过程明确性不够。</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（2）目标合理性</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绩效目标是对江滩堤防、景观、绿化设施等基础设施进行局部更新和提档升级，确保江滩堤防设施安全、正常运行；保证园区秩序正规，提升景点效果。该目标体现了汉口江滩办负责江滩园林设施建设项目管理与设备维护、绿化养护等工作的职责，项目预期产出效益和效果符合正常的业绩水平。</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（3）指标明确性</w:t>
      </w:r>
    </w:p>
    <w:p w:rsidR="000E4E2E" w:rsidRDefault="00046F11">
      <w:pPr>
        <w:spacing w:line="520" w:lineRule="exact"/>
        <w:rPr>
          <w:rFonts w:ascii="仿宋" w:eastAsia="仿宋" w:hAnsi="仿宋"/>
          <w:bCs/>
          <w:sz w:val="28"/>
          <w:szCs w:val="28"/>
        </w:rPr>
      </w:pPr>
      <w:r>
        <w:rPr>
          <w:rFonts w:ascii="仿宋" w:eastAsia="仿宋" w:hAnsi="仿宋" w:hint="eastAsia"/>
          <w:bCs/>
          <w:sz w:val="28"/>
          <w:szCs w:val="28"/>
        </w:rPr>
        <w:t xml:space="preserve">    项目设立了年度绩效指标，指标设置较为科学，具体设置情况见“项目预算绩效目标”。</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（4）资金执行率</w:t>
      </w:r>
    </w:p>
    <w:p w:rsidR="000E4E2E" w:rsidRDefault="002B0914">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根据</w:t>
      </w:r>
      <w:r w:rsidR="00046F11">
        <w:rPr>
          <w:rFonts w:ascii="仿宋" w:eastAsia="仿宋" w:hAnsi="仿宋" w:hint="eastAsia"/>
          <w:bCs/>
          <w:sz w:val="28"/>
          <w:szCs w:val="28"/>
        </w:rPr>
        <w:t>2017年预、决算报表数据，2017年调整后项目支出预算13302.48万元，预算实际支出13281.48万元，项目预算执行率为99.84</w:t>
      </w:r>
      <w:r w:rsidR="00046F11">
        <w:rPr>
          <w:rFonts w:ascii="仿宋" w:eastAsia="仿宋" w:hAnsi="仿宋"/>
          <w:bCs/>
          <w:sz w:val="28"/>
          <w:szCs w:val="28"/>
        </w:rPr>
        <w:t>%</w:t>
      </w:r>
      <w:r w:rsidR="00046F11">
        <w:rPr>
          <w:rFonts w:ascii="仿宋" w:eastAsia="仿宋" w:hAnsi="仿宋" w:hint="eastAsia"/>
          <w:bCs/>
          <w:sz w:val="28"/>
          <w:szCs w:val="28"/>
        </w:rPr>
        <w:t>，具体情况如下表：</w:t>
      </w:r>
    </w:p>
    <w:p w:rsidR="00000669" w:rsidRDefault="00000669">
      <w:pPr>
        <w:spacing w:line="520" w:lineRule="exact"/>
        <w:ind w:firstLineChars="200" w:firstLine="560"/>
        <w:rPr>
          <w:rFonts w:ascii="仿宋" w:eastAsia="仿宋" w:hAnsi="仿宋"/>
          <w:bCs/>
          <w:sz w:val="28"/>
          <w:szCs w:val="28"/>
        </w:rPr>
      </w:pPr>
    </w:p>
    <w:p w:rsidR="00000669" w:rsidRDefault="00000669">
      <w:pPr>
        <w:spacing w:line="520" w:lineRule="exact"/>
        <w:ind w:firstLineChars="200" w:firstLine="560"/>
        <w:rPr>
          <w:rFonts w:ascii="仿宋" w:eastAsia="仿宋" w:hAnsi="仿宋"/>
          <w:bCs/>
          <w:sz w:val="28"/>
          <w:szCs w:val="28"/>
        </w:rPr>
      </w:pPr>
    </w:p>
    <w:p w:rsidR="00000669" w:rsidRDefault="00000669">
      <w:pPr>
        <w:spacing w:line="520" w:lineRule="exact"/>
        <w:ind w:firstLineChars="200" w:firstLine="560"/>
        <w:rPr>
          <w:rFonts w:ascii="仿宋" w:eastAsia="仿宋" w:hAnsi="仿宋" w:hint="eastAsia"/>
          <w:bCs/>
          <w:sz w:val="28"/>
          <w:szCs w:val="28"/>
        </w:rPr>
      </w:pPr>
    </w:p>
    <w:tbl>
      <w:tblPr>
        <w:tblpPr w:leftFromText="180" w:rightFromText="180" w:vertAnchor="text" w:horzAnchor="margin" w:tblpXSpec="center" w:tblpY="358"/>
        <w:tblW w:w="8462" w:type="dxa"/>
        <w:tblLayout w:type="fixed"/>
        <w:tblLook w:val="04A0" w:firstRow="1" w:lastRow="0" w:firstColumn="1" w:lastColumn="0" w:noHBand="0" w:noVBand="1"/>
      </w:tblPr>
      <w:tblGrid>
        <w:gridCol w:w="586"/>
        <w:gridCol w:w="2070"/>
        <w:gridCol w:w="1725"/>
        <w:gridCol w:w="1560"/>
        <w:gridCol w:w="1110"/>
        <w:gridCol w:w="1411"/>
      </w:tblGrid>
      <w:tr w:rsidR="000E4E2E">
        <w:trPr>
          <w:trHeight w:val="465"/>
          <w:tblHead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b/>
                <w:bCs/>
                <w:color w:val="FF0000"/>
                <w:kern w:val="0"/>
                <w:sz w:val="20"/>
                <w:szCs w:val="20"/>
              </w:rPr>
            </w:pPr>
            <w:r>
              <w:rPr>
                <w:rFonts w:ascii="宋体" w:eastAsia="宋体" w:hAnsi="宋体" w:cs="宋体" w:hint="eastAsia"/>
                <w:b/>
                <w:bCs/>
                <w:color w:val="000000"/>
                <w:kern w:val="0"/>
                <w:sz w:val="20"/>
                <w:szCs w:val="20"/>
              </w:rPr>
              <w:lastRenderedPageBreak/>
              <w:t>序号</w:t>
            </w:r>
          </w:p>
        </w:tc>
        <w:tc>
          <w:tcPr>
            <w:tcW w:w="2070"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b/>
                <w:bCs/>
                <w:color w:val="FF0000"/>
                <w:kern w:val="0"/>
                <w:sz w:val="20"/>
                <w:szCs w:val="20"/>
              </w:rPr>
            </w:pPr>
            <w:r>
              <w:rPr>
                <w:rFonts w:ascii="宋体" w:eastAsia="宋体" w:hAnsi="宋体" w:cs="宋体" w:hint="eastAsia"/>
                <w:b/>
                <w:bCs/>
                <w:color w:val="000000"/>
                <w:kern w:val="0"/>
                <w:sz w:val="20"/>
                <w:szCs w:val="20"/>
              </w:rPr>
              <w:t>项目名称</w:t>
            </w:r>
          </w:p>
        </w:tc>
        <w:tc>
          <w:tcPr>
            <w:tcW w:w="1725"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b/>
                <w:bCs/>
                <w:color w:val="FF0000"/>
                <w:kern w:val="0"/>
                <w:sz w:val="20"/>
                <w:szCs w:val="20"/>
              </w:rPr>
            </w:pPr>
            <w:r>
              <w:rPr>
                <w:rFonts w:ascii="宋体" w:eastAsia="宋体" w:hAnsi="宋体" w:cs="宋体" w:hint="eastAsia"/>
                <w:b/>
                <w:bCs/>
                <w:color w:val="000000"/>
                <w:kern w:val="0"/>
                <w:sz w:val="20"/>
                <w:szCs w:val="20"/>
              </w:rPr>
              <w:t>调整后预算数</w:t>
            </w:r>
          </w:p>
        </w:tc>
        <w:tc>
          <w:tcPr>
            <w:tcW w:w="1560"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b/>
                <w:bCs/>
                <w:color w:val="FF0000"/>
                <w:kern w:val="0"/>
                <w:sz w:val="20"/>
                <w:szCs w:val="20"/>
              </w:rPr>
            </w:pPr>
            <w:r>
              <w:rPr>
                <w:rFonts w:ascii="宋体" w:eastAsia="宋体" w:hAnsi="宋体" w:cs="宋体" w:hint="eastAsia"/>
                <w:b/>
                <w:bCs/>
                <w:color w:val="000000"/>
                <w:kern w:val="0"/>
                <w:sz w:val="20"/>
                <w:szCs w:val="20"/>
              </w:rPr>
              <w:t>执行数</w:t>
            </w:r>
          </w:p>
        </w:tc>
        <w:tc>
          <w:tcPr>
            <w:tcW w:w="1110"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b/>
                <w:bCs/>
                <w:color w:val="FF0000"/>
                <w:kern w:val="0"/>
                <w:sz w:val="20"/>
                <w:szCs w:val="20"/>
              </w:rPr>
            </w:pPr>
            <w:r>
              <w:rPr>
                <w:rFonts w:ascii="宋体" w:eastAsia="宋体" w:hAnsi="宋体" w:cs="宋体" w:hint="eastAsia"/>
                <w:b/>
                <w:bCs/>
                <w:color w:val="000000"/>
                <w:kern w:val="0"/>
                <w:sz w:val="20"/>
                <w:szCs w:val="20"/>
              </w:rPr>
              <w:t>执行率</w:t>
            </w:r>
          </w:p>
        </w:tc>
        <w:tc>
          <w:tcPr>
            <w:tcW w:w="1411"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b/>
                <w:bCs/>
                <w:color w:val="FF0000"/>
                <w:kern w:val="0"/>
                <w:sz w:val="20"/>
                <w:szCs w:val="20"/>
              </w:rPr>
            </w:pPr>
            <w:r>
              <w:rPr>
                <w:rFonts w:ascii="宋体" w:eastAsia="宋体" w:hAnsi="宋体" w:cs="宋体" w:hint="eastAsia"/>
                <w:b/>
                <w:bCs/>
                <w:color w:val="000000"/>
                <w:kern w:val="0"/>
                <w:sz w:val="20"/>
                <w:szCs w:val="20"/>
              </w:rPr>
              <w:t>备注</w:t>
            </w:r>
          </w:p>
        </w:tc>
      </w:tr>
      <w:tr w:rsidR="000E4E2E">
        <w:trPr>
          <w:trHeight w:val="477"/>
        </w:trPr>
        <w:tc>
          <w:tcPr>
            <w:tcW w:w="586"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1</w:t>
            </w:r>
          </w:p>
        </w:tc>
        <w:tc>
          <w:tcPr>
            <w:tcW w:w="207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0"/>
                <w:szCs w:val="20"/>
              </w:rPr>
              <w:t>江滩堤防设施维修</w:t>
            </w:r>
          </w:p>
        </w:tc>
        <w:tc>
          <w:tcPr>
            <w:tcW w:w="1725"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1,300.00 </w:t>
            </w:r>
          </w:p>
        </w:tc>
        <w:tc>
          <w:tcPr>
            <w:tcW w:w="156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1,279.00 </w:t>
            </w:r>
          </w:p>
        </w:tc>
        <w:tc>
          <w:tcPr>
            <w:tcW w:w="1110"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98.38%</w:t>
            </w:r>
          </w:p>
        </w:tc>
        <w:tc>
          <w:tcPr>
            <w:tcW w:w="1411" w:type="dxa"/>
            <w:tcBorders>
              <w:top w:val="nil"/>
              <w:left w:val="single" w:sz="4" w:space="0" w:color="auto"/>
              <w:bottom w:val="single" w:sz="4" w:space="0" w:color="auto"/>
              <w:right w:val="single" w:sz="4" w:space="0" w:color="auto"/>
            </w:tcBorders>
            <w:shd w:val="clear" w:color="auto" w:fill="auto"/>
            <w:vAlign w:val="center"/>
          </w:tcPr>
          <w:p w:rsidR="000E4E2E" w:rsidRDefault="000E4E2E">
            <w:pPr>
              <w:jc w:val="center"/>
              <w:rPr>
                <w:rFonts w:ascii="宋体" w:eastAsia="宋体" w:hAnsi="宋体" w:cs="宋体"/>
                <w:color w:val="FF0000"/>
                <w:kern w:val="0"/>
                <w:sz w:val="22"/>
                <w:szCs w:val="22"/>
              </w:rPr>
            </w:pPr>
          </w:p>
        </w:tc>
      </w:tr>
      <w:tr w:rsidR="000E4E2E">
        <w:trPr>
          <w:trHeight w:val="465"/>
        </w:trPr>
        <w:tc>
          <w:tcPr>
            <w:tcW w:w="586"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2</w:t>
            </w:r>
          </w:p>
        </w:tc>
        <w:tc>
          <w:tcPr>
            <w:tcW w:w="207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0"/>
                <w:szCs w:val="20"/>
              </w:rPr>
              <w:t>横渡长江文化园布展</w:t>
            </w:r>
          </w:p>
        </w:tc>
        <w:tc>
          <w:tcPr>
            <w:tcW w:w="1725"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158.32 </w:t>
            </w:r>
          </w:p>
        </w:tc>
        <w:tc>
          <w:tcPr>
            <w:tcW w:w="156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158.32 </w:t>
            </w:r>
          </w:p>
        </w:tc>
        <w:tc>
          <w:tcPr>
            <w:tcW w:w="1110"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100.00%</w:t>
            </w:r>
          </w:p>
        </w:tc>
        <w:tc>
          <w:tcPr>
            <w:tcW w:w="1411" w:type="dxa"/>
            <w:tcBorders>
              <w:top w:val="nil"/>
              <w:left w:val="single" w:sz="4" w:space="0" w:color="auto"/>
              <w:bottom w:val="single" w:sz="4" w:space="0" w:color="auto"/>
              <w:right w:val="single" w:sz="4" w:space="0" w:color="auto"/>
            </w:tcBorders>
            <w:shd w:val="clear" w:color="auto" w:fill="auto"/>
            <w:vAlign w:val="center"/>
          </w:tcPr>
          <w:p w:rsidR="000E4E2E" w:rsidRDefault="000E4E2E">
            <w:pPr>
              <w:jc w:val="center"/>
              <w:rPr>
                <w:rFonts w:ascii="宋体" w:eastAsia="宋体" w:hAnsi="宋体" w:cs="宋体"/>
                <w:color w:val="FF0000"/>
                <w:kern w:val="0"/>
                <w:sz w:val="22"/>
                <w:szCs w:val="22"/>
              </w:rPr>
            </w:pPr>
          </w:p>
        </w:tc>
      </w:tr>
      <w:tr w:rsidR="000E4E2E">
        <w:trPr>
          <w:trHeight w:val="465"/>
        </w:trPr>
        <w:tc>
          <w:tcPr>
            <w:tcW w:w="586"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3</w:t>
            </w:r>
          </w:p>
        </w:tc>
        <w:tc>
          <w:tcPr>
            <w:tcW w:w="207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0"/>
                <w:szCs w:val="20"/>
              </w:rPr>
              <w:t>灾后水利设施建设</w:t>
            </w:r>
          </w:p>
        </w:tc>
        <w:tc>
          <w:tcPr>
            <w:tcW w:w="1725"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1,101.25 </w:t>
            </w:r>
          </w:p>
        </w:tc>
        <w:tc>
          <w:tcPr>
            <w:tcW w:w="156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1,101.25 </w:t>
            </w:r>
          </w:p>
        </w:tc>
        <w:tc>
          <w:tcPr>
            <w:tcW w:w="1110"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100.00%</w:t>
            </w:r>
          </w:p>
        </w:tc>
        <w:tc>
          <w:tcPr>
            <w:tcW w:w="1411" w:type="dxa"/>
            <w:tcBorders>
              <w:top w:val="nil"/>
              <w:left w:val="single" w:sz="4" w:space="0" w:color="auto"/>
              <w:bottom w:val="single" w:sz="4" w:space="0" w:color="auto"/>
              <w:right w:val="single" w:sz="4" w:space="0" w:color="auto"/>
            </w:tcBorders>
            <w:shd w:val="clear" w:color="auto" w:fill="auto"/>
            <w:vAlign w:val="center"/>
          </w:tcPr>
          <w:p w:rsidR="000E4E2E" w:rsidRDefault="000E4E2E">
            <w:pPr>
              <w:jc w:val="center"/>
              <w:rPr>
                <w:rFonts w:ascii="宋体" w:eastAsia="宋体" w:hAnsi="宋体" w:cs="宋体"/>
                <w:color w:val="FF0000"/>
                <w:kern w:val="0"/>
                <w:sz w:val="22"/>
                <w:szCs w:val="22"/>
              </w:rPr>
            </w:pPr>
          </w:p>
        </w:tc>
      </w:tr>
      <w:tr w:rsidR="000E4E2E">
        <w:trPr>
          <w:trHeight w:val="465"/>
        </w:trPr>
        <w:tc>
          <w:tcPr>
            <w:tcW w:w="586"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4</w:t>
            </w:r>
          </w:p>
        </w:tc>
        <w:tc>
          <w:tcPr>
            <w:tcW w:w="207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0"/>
                <w:szCs w:val="20"/>
              </w:rPr>
              <w:t>横渡长江博物馆运行维护管理</w:t>
            </w:r>
          </w:p>
        </w:tc>
        <w:tc>
          <w:tcPr>
            <w:tcW w:w="1725"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230.00 </w:t>
            </w:r>
          </w:p>
        </w:tc>
        <w:tc>
          <w:tcPr>
            <w:tcW w:w="156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230.00 </w:t>
            </w:r>
          </w:p>
        </w:tc>
        <w:tc>
          <w:tcPr>
            <w:tcW w:w="1110"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100.00%</w:t>
            </w:r>
          </w:p>
        </w:tc>
        <w:tc>
          <w:tcPr>
            <w:tcW w:w="1411" w:type="dxa"/>
            <w:tcBorders>
              <w:top w:val="nil"/>
              <w:left w:val="single" w:sz="4" w:space="0" w:color="auto"/>
              <w:bottom w:val="single" w:sz="4" w:space="0" w:color="auto"/>
              <w:right w:val="single" w:sz="4" w:space="0" w:color="auto"/>
            </w:tcBorders>
            <w:shd w:val="clear" w:color="auto" w:fill="auto"/>
            <w:vAlign w:val="center"/>
          </w:tcPr>
          <w:p w:rsidR="000E4E2E" w:rsidRDefault="000E4E2E">
            <w:pPr>
              <w:jc w:val="center"/>
              <w:rPr>
                <w:rFonts w:ascii="宋体" w:eastAsia="宋体" w:hAnsi="宋体" w:cs="宋体"/>
                <w:color w:val="FF0000"/>
                <w:kern w:val="0"/>
                <w:sz w:val="22"/>
                <w:szCs w:val="22"/>
              </w:rPr>
            </w:pPr>
          </w:p>
        </w:tc>
      </w:tr>
      <w:tr w:rsidR="000E4E2E">
        <w:trPr>
          <w:trHeight w:val="465"/>
        </w:trPr>
        <w:tc>
          <w:tcPr>
            <w:tcW w:w="586"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5</w:t>
            </w:r>
          </w:p>
        </w:tc>
        <w:tc>
          <w:tcPr>
            <w:tcW w:w="207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0"/>
                <w:szCs w:val="20"/>
              </w:rPr>
              <w:t>市管江滩及武昌江滩运行维护管理</w:t>
            </w:r>
          </w:p>
        </w:tc>
        <w:tc>
          <w:tcPr>
            <w:tcW w:w="1725"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10,512.91 </w:t>
            </w:r>
          </w:p>
        </w:tc>
        <w:tc>
          <w:tcPr>
            <w:tcW w:w="156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10,512.91 </w:t>
            </w:r>
          </w:p>
        </w:tc>
        <w:tc>
          <w:tcPr>
            <w:tcW w:w="1110"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100.00%</w:t>
            </w:r>
          </w:p>
        </w:tc>
        <w:tc>
          <w:tcPr>
            <w:tcW w:w="1411" w:type="dxa"/>
            <w:tcBorders>
              <w:top w:val="nil"/>
              <w:left w:val="single" w:sz="4" w:space="0" w:color="auto"/>
              <w:bottom w:val="single" w:sz="4" w:space="0" w:color="auto"/>
              <w:right w:val="single" w:sz="4" w:space="0" w:color="auto"/>
            </w:tcBorders>
            <w:shd w:val="clear" w:color="auto" w:fill="auto"/>
            <w:vAlign w:val="center"/>
          </w:tcPr>
          <w:p w:rsidR="000E4E2E" w:rsidRDefault="000E4E2E">
            <w:pPr>
              <w:jc w:val="center"/>
              <w:rPr>
                <w:rFonts w:ascii="宋体" w:eastAsia="宋体" w:hAnsi="宋体" w:cs="宋体"/>
                <w:color w:val="FF0000"/>
                <w:kern w:val="0"/>
                <w:sz w:val="22"/>
                <w:szCs w:val="22"/>
              </w:rPr>
            </w:pPr>
          </w:p>
        </w:tc>
      </w:tr>
      <w:tr w:rsidR="000E4E2E">
        <w:trPr>
          <w:trHeight w:val="465"/>
        </w:trPr>
        <w:tc>
          <w:tcPr>
            <w:tcW w:w="586"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6</w:t>
            </w:r>
          </w:p>
        </w:tc>
        <w:tc>
          <w:tcPr>
            <w:tcW w:w="207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0"/>
                <w:szCs w:val="20"/>
              </w:rPr>
              <w:t>汉口江滩长江二桥至武汉关功能与景观提升工程</w:t>
            </w:r>
          </w:p>
        </w:tc>
        <w:tc>
          <w:tcPr>
            <w:tcW w:w="1725"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0.00 </w:t>
            </w:r>
          </w:p>
        </w:tc>
        <w:tc>
          <w:tcPr>
            <w:tcW w:w="1560" w:type="dxa"/>
            <w:tcBorders>
              <w:top w:val="nil"/>
              <w:left w:val="nil"/>
              <w:bottom w:val="single" w:sz="4" w:space="0" w:color="000000"/>
              <w:right w:val="single" w:sz="4" w:space="0" w:color="000000"/>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0.00 </w:t>
            </w:r>
          </w:p>
        </w:tc>
        <w:tc>
          <w:tcPr>
            <w:tcW w:w="1110" w:type="dxa"/>
            <w:tcBorders>
              <w:top w:val="nil"/>
              <w:left w:val="single" w:sz="4" w:space="0" w:color="auto"/>
              <w:bottom w:val="single" w:sz="4" w:space="0" w:color="auto"/>
              <w:right w:val="single" w:sz="4" w:space="0" w:color="auto"/>
            </w:tcBorders>
            <w:shd w:val="clear" w:color="auto" w:fill="auto"/>
            <w:vAlign w:val="center"/>
          </w:tcPr>
          <w:p w:rsidR="000E4E2E" w:rsidRDefault="000E4E2E">
            <w:pPr>
              <w:jc w:val="center"/>
              <w:rPr>
                <w:rFonts w:ascii="宋体" w:eastAsia="宋体" w:hAnsi="宋体" w:cs="宋体"/>
                <w:color w:val="FF0000"/>
                <w:kern w:val="0"/>
                <w:sz w:val="22"/>
                <w:szCs w:val="22"/>
              </w:rPr>
            </w:pPr>
          </w:p>
        </w:tc>
        <w:tc>
          <w:tcPr>
            <w:tcW w:w="1411" w:type="dxa"/>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18"/>
                <w:szCs w:val="18"/>
              </w:rPr>
              <w:t>年初预算</w:t>
            </w:r>
            <w:r w:rsidR="007128C0">
              <w:rPr>
                <w:rFonts w:ascii="宋体" w:eastAsia="宋体" w:hAnsi="宋体" w:cs="宋体" w:hint="eastAsia"/>
                <w:color w:val="000000"/>
                <w:kern w:val="0"/>
                <w:sz w:val="18"/>
                <w:szCs w:val="18"/>
              </w:rPr>
              <w:t>600万</w:t>
            </w:r>
            <w:r>
              <w:rPr>
                <w:rFonts w:ascii="宋体" w:eastAsia="宋体" w:hAnsi="宋体" w:cs="宋体" w:hint="eastAsia"/>
                <w:color w:val="000000"/>
                <w:kern w:val="0"/>
                <w:sz w:val="18"/>
                <w:szCs w:val="18"/>
              </w:rPr>
              <w:t>列入武汉市水务局本级，故在局本级评价</w:t>
            </w:r>
          </w:p>
        </w:tc>
      </w:tr>
      <w:tr w:rsidR="000E4E2E">
        <w:trPr>
          <w:trHeight w:val="540"/>
        </w:trPr>
        <w:tc>
          <w:tcPr>
            <w:tcW w:w="2656" w:type="dxa"/>
            <w:gridSpan w:val="2"/>
            <w:tcBorders>
              <w:top w:val="nil"/>
              <w:left w:val="single" w:sz="4" w:space="0" w:color="auto"/>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合计</w:t>
            </w:r>
          </w:p>
        </w:tc>
        <w:tc>
          <w:tcPr>
            <w:tcW w:w="1725"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13,302.48 </w:t>
            </w:r>
          </w:p>
        </w:tc>
        <w:tc>
          <w:tcPr>
            <w:tcW w:w="1560" w:type="dxa"/>
            <w:tcBorders>
              <w:top w:val="single" w:sz="4" w:space="0" w:color="auto"/>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 xml:space="preserve">13,281.48 </w:t>
            </w:r>
          </w:p>
        </w:tc>
        <w:tc>
          <w:tcPr>
            <w:tcW w:w="1110" w:type="dxa"/>
            <w:tcBorders>
              <w:top w:val="nil"/>
              <w:left w:val="nil"/>
              <w:bottom w:val="single" w:sz="4" w:space="0" w:color="auto"/>
              <w:right w:val="single" w:sz="4" w:space="0" w:color="auto"/>
            </w:tcBorders>
            <w:shd w:val="clear" w:color="auto" w:fill="auto"/>
            <w:vAlign w:val="center"/>
          </w:tcPr>
          <w:p w:rsidR="000E4E2E" w:rsidRDefault="00046F11">
            <w:pPr>
              <w:widowControl/>
              <w:jc w:val="center"/>
              <w:textAlignment w:val="center"/>
              <w:rPr>
                <w:rFonts w:ascii="宋体" w:eastAsia="宋体" w:hAnsi="宋体" w:cs="宋体"/>
                <w:color w:val="FF0000"/>
                <w:kern w:val="0"/>
                <w:sz w:val="22"/>
                <w:szCs w:val="22"/>
              </w:rPr>
            </w:pPr>
            <w:r>
              <w:rPr>
                <w:rFonts w:ascii="宋体" w:eastAsia="宋体" w:hAnsi="宋体" w:cs="宋体" w:hint="eastAsia"/>
                <w:color w:val="000000"/>
                <w:kern w:val="0"/>
                <w:sz w:val="22"/>
                <w:szCs w:val="22"/>
              </w:rPr>
              <w:t>99.84%</w:t>
            </w:r>
          </w:p>
        </w:tc>
        <w:tc>
          <w:tcPr>
            <w:tcW w:w="1411" w:type="dxa"/>
            <w:tcBorders>
              <w:top w:val="nil"/>
              <w:left w:val="nil"/>
              <w:bottom w:val="single" w:sz="4" w:space="0" w:color="auto"/>
              <w:right w:val="single" w:sz="4" w:space="0" w:color="auto"/>
            </w:tcBorders>
            <w:shd w:val="clear" w:color="auto" w:fill="auto"/>
            <w:vAlign w:val="center"/>
          </w:tcPr>
          <w:p w:rsidR="000E4E2E" w:rsidRDefault="000E4E2E">
            <w:pPr>
              <w:jc w:val="center"/>
              <w:rPr>
                <w:rFonts w:ascii="宋体" w:eastAsia="宋体" w:hAnsi="宋体" w:cs="宋体"/>
                <w:color w:val="FF0000"/>
                <w:kern w:val="0"/>
                <w:sz w:val="22"/>
                <w:szCs w:val="22"/>
              </w:rPr>
            </w:pPr>
          </w:p>
        </w:tc>
      </w:tr>
    </w:tbl>
    <w:p w:rsidR="000E4E2E" w:rsidRDefault="00046F11">
      <w:pPr>
        <w:spacing w:line="520" w:lineRule="exact"/>
        <w:ind w:firstLineChars="200" w:firstLine="560"/>
        <w:outlineLvl w:val="2"/>
        <w:rPr>
          <w:rFonts w:ascii="仿宋" w:eastAsia="仿宋" w:hAnsi="仿宋"/>
          <w:bCs/>
          <w:sz w:val="28"/>
          <w:szCs w:val="28"/>
        </w:rPr>
      </w:pPr>
      <w:bookmarkStart w:id="28" w:name="_Toc517708019"/>
      <w:r>
        <w:rPr>
          <w:rFonts w:ascii="仿宋" w:eastAsia="仿宋" w:hAnsi="仿宋" w:hint="eastAsia"/>
          <w:bCs/>
          <w:sz w:val="28"/>
          <w:szCs w:val="28"/>
        </w:rPr>
        <w:t>2.项目过程</w:t>
      </w:r>
      <w:bookmarkEnd w:id="28"/>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资金使用按照计划执行，符合国家财经法规和财务管理制度以及有关专项资管理办法的规定。项目资金拨付与使用有完整的审批流程和手续，独立核算，账簿齐全，账务处理较为规范，并制定了相应的财务监控机制。项目管理所需人员、设备设施等条件落实到位，项目建设的施工单位和相关单位的确定办理了政府采购等相关手续。项目基本建设程序管理、项目工程质量管理、项目档案管理制度健全且得到执行, 项目单位基本建设管理程序落实到位。本项指标总分为28分，实际得26分，得分率92.86%,项目过程具体评价如下：</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（1）财务管理制度健全性</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为加强工程项目的审计监督，完善和规范工程审计制度，提高审计工作质量，防范审计风险，实现工程审计工作的规范化、制度化，促进建设单位及有关部门加强对建设项目和</w:t>
      </w:r>
      <w:r w:rsidR="002B0914">
        <w:rPr>
          <w:rFonts w:ascii="仿宋" w:eastAsia="仿宋" w:hAnsi="仿宋" w:hint="eastAsia"/>
          <w:bCs/>
          <w:sz w:val="28"/>
          <w:szCs w:val="28"/>
        </w:rPr>
        <w:t>建设资金的管理，达到维护江滩办合法权益、防止效益流失的目的，</w:t>
      </w:r>
      <w:r>
        <w:rPr>
          <w:rFonts w:ascii="仿宋" w:eastAsia="仿宋" w:hAnsi="仿宋" w:hint="eastAsia"/>
          <w:bCs/>
          <w:sz w:val="28"/>
          <w:szCs w:val="28"/>
        </w:rPr>
        <w:t>制定和印发了《江滩工程项目审计管理实施办法》、《武汉市江滩管理办公工程类合</w:t>
      </w:r>
      <w:r>
        <w:rPr>
          <w:rFonts w:ascii="仿宋" w:eastAsia="仿宋" w:hAnsi="仿宋" w:hint="eastAsia"/>
          <w:bCs/>
          <w:sz w:val="28"/>
          <w:szCs w:val="28"/>
        </w:rPr>
        <w:lastRenderedPageBreak/>
        <w:t>同审查会签规定》、《社会服务购买制度》、《财务报销细则》等文件，财务管理制度较健全，建立严格的财务报销制度和严格印鉴管理机制。</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（2）资金使用合规性</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实际支出与项目计划投入资金的用途相符，符合《中华人民共和国会计法》、《中华人民共和国预算法》和《行政单位会计制度》的规定，资金的拨付有较齐全的审批程序和手续，符合项目预算批复或合同规定的用途。未发现超标列支相关费用的现象，能做到专款专用。</w:t>
      </w:r>
    </w:p>
    <w:p w:rsidR="000E4E2E" w:rsidRDefault="00046F11">
      <w:pPr>
        <w:spacing w:line="520" w:lineRule="exact"/>
        <w:ind w:firstLineChars="100" w:firstLine="280"/>
        <w:rPr>
          <w:rFonts w:ascii="仿宋" w:eastAsia="仿宋" w:hAnsi="仿宋"/>
          <w:bCs/>
          <w:sz w:val="28"/>
          <w:szCs w:val="28"/>
        </w:rPr>
      </w:pPr>
      <w:r>
        <w:rPr>
          <w:rFonts w:ascii="仿宋" w:eastAsia="仿宋" w:hAnsi="仿宋" w:hint="eastAsia"/>
          <w:bCs/>
          <w:sz w:val="28"/>
          <w:szCs w:val="28"/>
        </w:rPr>
        <w:t>（</w:t>
      </w:r>
      <w:r w:rsidR="00A57B1E">
        <w:rPr>
          <w:rFonts w:ascii="仿宋" w:eastAsia="仿宋" w:hAnsi="仿宋" w:hint="eastAsia"/>
          <w:bCs/>
          <w:sz w:val="28"/>
          <w:szCs w:val="28"/>
        </w:rPr>
        <w:t>3</w:t>
      </w:r>
      <w:r>
        <w:rPr>
          <w:rFonts w:ascii="仿宋" w:eastAsia="仿宋" w:hAnsi="仿宋" w:hint="eastAsia"/>
          <w:bCs/>
          <w:sz w:val="28"/>
          <w:szCs w:val="28"/>
        </w:rPr>
        <w:t>）财务信息质量</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预算执行和财务管理比较规范，会计资料真实。资金通过财政直接直付、授权支付或其它方式进行结算。资金拨付使用严格按照程序执行，用款申请单经用款部门和经办人提出申请，并注明用款理由和相关支出附件，经业务负责人、财务负责人、分管领导签字后通过财政直接支付或授权支付，以保证财政资金使用的安全。</w:t>
      </w:r>
    </w:p>
    <w:p w:rsidR="000E4E2E" w:rsidRDefault="00046F11">
      <w:pPr>
        <w:spacing w:line="520" w:lineRule="exact"/>
        <w:ind w:firstLineChars="100" w:firstLine="280"/>
        <w:rPr>
          <w:rFonts w:ascii="仿宋" w:eastAsia="仿宋" w:hAnsi="仿宋"/>
          <w:bCs/>
          <w:sz w:val="28"/>
          <w:szCs w:val="28"/>
        </w:rPr>
      </w:pPr>
      <w:r>
        <w:rPr>
          <w:rFonts w:ascii="仿宋" w:eastAsia="仿宋" w:hAnsi="仿宋" w:hint="eastAsia"/>
          <w:bCs/>
          <w:sz w:val="28"/>
          <w:szCs w:val="28"/>
        </w:rPr>
        <w:t>（</w:t>
      </w:r>
      <w:r w:rsidR="00A57B1E">
        <w:rPr>
          <w:rFonts w:ascii="仿宋" w:eastAsia="仿宋" w:hAnsi="仿宋" w:hint="eastAsia"/>
          <w:bCs/>
          <w:sz w:val="28"/>
          <w:szCs w:val="28"/>
        </w:rPr>
        <w:t>4</w:t>
      </w:r>
      <w:r>
        <w:rPr>
          <w:rFonts w:ascii="仿宋" w:eastAsia="仿宋" w:hAnsi="仿宋" w:hint="eastAsia"/>
          <w:bCs/>
          <w:sz w:val="28"/>
          <w:szCs w:val="28"/>
        </w:rPr>
        <w:t>）项目组织实施</w:t>
      </w:r>
    </w:p>
    <w:p w:rsidR="000E4E2E" w:rsidRDefault="00046F11">
      <w:pPr>
        <w:pStyle w:val="a7"/>
        <w:spacing w:line="520" w:lineRule="exact"/>
        <w:ind w:firstLineChars="200" w:firstLine="560"/>
        <w:rPr>
          <w:rFonts w:ascii="仿宋" w:eastAsia="仿宋" w:hAnsi="仿宋"/>
          <w:bCs/>
          <w:sz w:val="28"/>
          <w:szCs w:val="28"/>
        </w:rPr>
      </w:pPr>
      <w:r>
        <w:rPr>
          <w:rFonts w:ascii="仿宋" w:eastAsia="仿宋" w:hAnsi="仿宋" w:hint="eastAsia"/>
          <w:bCs/>
          <w:sz w:val="28"/>
          <w:szCs w:val="28"/>
        </w:rPr>
        <w:t>制定了《江滩专项工程管理制度》，江滩专项工程实施前，组建由主任全面负责，由园林设施科、物业部、绿化部负责人等三个部门组成工程管理专班。园林设施科负责资金计划的制定，协调各部门制定工程方案，编制招标方案并组织招标，施工过程中配合现场管理，归整竣工资料，办理工程结算等事项。现场部门（包括物业部、绿化部等）负责现场工程管理。</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sidR="00A57B1E">
        <w:rPr>
          <w:rFonts w:ascii="仿宋" w:eastAsia="仿宋" w:hAnsi="仿宋" w:hint="eastAsia"/>
          <w:bCs/>
          <w:sz w:val="28"/>
          <w:szCs w:val="28"/>
        </w:rPr>
        <w:t>5</w:t>
      </w:r>
      <w:r>
        <w:rPr>
          <w:rFonts w:ascii="仿宋" w:eastAsia="仿宋" w:hAnsi="仿宋" w:hint="eastAsia"/>
          <w:bCs/>
          <w:sz w:val="28"/>
          <w:szCs w:val="28"/>
        </w:rPr>
        <w:t>）基本建设程序管理</w:t>
      </w:r>
    </w:p>
    <w:p w:rsidR="000E4E2E" w:rsidRDefault="00046F11">
      <w:pPr>
        <w:pStyle w:val="a7"/>
        <w:spacing w:line="520" w:lineRule="exact"/>
        <w:ind w:firstLineChars="200" w:firstLine="560"/>
        <w:rPr>
          <w:rFonts w:ascii="仿宋" w:eastAsia="仿宋" w:hAnsi="仿宋"/>
          <w:bCs/>
          <w:sz w:val="28"/>
          <w:szCs w:val="28"/>
        </w:rPr>
      </w:pPr>
      <w:r>
        <w:rPr>
          <w:rFonts w:ascii="仿宋" w:eastAsia="仿宋" w:hAnsi="仿宋" w:hint="eastAsia"/>
          <w:bCs/>
          <w:sz w:val="28"/>
          <w:szCs w:val="28"/>
        </w:rPr>
        <w:t>按照项目基本建设规范程序的管理要求，施工单位主要施工人员需持证上岗，江滩工程现场管理人员必须熟悉施工图，参与技术交底，对工程的技术要求、参数等进行核对，保证按照施工规范进</w:t>
      </w:r>
      <w:r>
        <w:rPr>
          <w:rFonts w:ascii="仿宋" w:eastAsia="仿宋" w:hAnsi="仿宋" w:hint="eastAsia"/>
          <w:bCs/>
          <w:sz w:val="28"/>
          <w:szCs w:val="28"/>
        </w:rPr>
        <w:lastRenderedPageBreak/>
        <w:t>行施工，每周组织一次监理例会，及时处理问题及部署下步工作。建设过程中，做到文明施工、安全生产。</w:t>
      </w:r>
    </w:p>
    <w:p w:rsidR="000E4E2E" w:rsidRDefault="00046F11">
      <w:pPr>
        <w:pStyle w:val="a7"/>
        <w:spacing w:line="520" w:lineRule="exact"/>
        <w:ind w:firstLineChars="200" w:firstLine="560"/>
        <w:rPr>
          <w:rFonts w:ascii="仿宋" w:eastAsia="仿宋" w:hAnsi="仿宋"/>
          <w:bCs/>
          <w:sz w:val="28"/>
          <w:szCs w:val="28"/>
        </w:rPr>
      </w:pPr>
      <w:r>
        <w:rPr>
          <w:rFonts w:ascii="仿宋" w:eastAsia="仿宋" w:hAnsi="仿宋" w:hint="eastAsia"/>
          <w:bCs/>
          <w:sz w:val="28"/>
          <w:szCs w:val="28"/>
        </w:rPr>
        <w:t>根据江滩工程类别、施工内容、技术标准、天气等因素科学合理编制施工进度表，制定保障进度的措施和应急预案。工程现场负责人为施工进度管理责任人，严格按进度表进行施工进度管理。</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sidR="00A57B1E">
        <w:rPr>
          <w:rFonts w:ascii="仿宋" w:eastAsia="仿宋" w:hAnsi="仿宋" w:hint="eastAsia"/>
          <w:bCs/>
          <w:sz w:val="28"/>
          <w:szCs w:val="28"/>
        </w:rPr>
        <w:t>6</w:t>
      </w:r>
      <w:r>
        <w:rPr>
          <w:rFonts w:ascii="仿宋" w:eastAsia="仿宋" w:hAnsi="仿宋" w:hint="eastAsia"/>
          <w:bCs/>
          <w:sz w:val="28"/>
          <w:szCs w:val="28"/>
        </w:rPr>
        <w:t>）项目工程质量管理</w:t>
      </w:r>
    </w:p>
    <w:p w:rsidR="000E4E2E" w:rsidRDefault="00046F11">
      <w:pPr>
        <w:pStyle w:val="a7"/>
        <w:spacing w:line="520" w:lineRule="exact"/>
        <w:ind w:firstLineChars="200" w:firstLine="560"/>
        <w:rPr>
          <w:rFonts w:ascii="仿宋" w:eastAsia="仿宋" w:hAnsi="仿宋"/>
          <w:bCs/>
          <w:sz w:val="28"/>
          <w:szCs w:val="28"/>
        </w:rPr>
      </w:pPr>
      <w:r>
        <w:rPr>
          <w:rFonts w:ascii="仿宋" w:eastAsia="仿宋" w:hAnsi="仿宋" w:hint="eastAsia"/>
          <w:bCs/>
          <w:sz w:val="28"/>
          <w:szCs w:val="28"/>
        </w:rPr>
        <w:t>江滩专项工程严把工程质量关。施工前根据要求严格履行报建、报监等基建程序，施工过程严格按照相应工程规范进行质量管理。</w:t>
      </w:r>
    </w:p>
    <w:p w:rsidR="000E4E2E" w:rsidRDefault="00046F11" w:rsidP="007128C0">
      <w:pPr>
        <w:pStyle w:val="a7"/>
        <w:spacing w:line="520" w:lineRule="exact"/>
        <w:ind w:firstLineChars="196" w:firstLine="549"/>
        <w:rPr>
          <w:rFonts w:ascii="仿宋" w:eastAsia="仿宋" w:hAnsi="仿宋"/>
          <w:bCs/>
          <w:sz w:val="28"/>
          <w:szCs w:val="28"/>
        </w:rPr>
      </w:pPr>
      <w:r>
        <w:rPr>
          <w:rFonts w:ascii="仿宋" w:eastAsia="仿宋" w:hAnsi="仿宋" w:hint="eastAsia"/>
          <w:bCs/>
          <w:sz w:val="28"/>
          <w:szCs w:val="28"/>
        </w:rPr>
        <w:t xml:space="preserve">江滩按工程类别实施质量专人负责，与质监、监理、施工方、质量管理方形成完善的多级质量管理体系。 </w:t>
      </w:r>
    </w:p>
    <w:p w:rsidR="000E4E2E" w:rsidRDefault="00046F11" w:rsidP="007128C0">
      <w:pPr>
        <w:pStyle w:val="a7"/>
        <w:spacing w:line="520" w:lineRule="exact"/>
        <w:ind w:firstLineChars="196" w:firstLine="549"/>
        <w:rPr>
          <w:rFonts w:ascii="仿宋" w:eastAsia="仿宋" w:hAnsi="仿宋"/>
          <w:bCs/>
          <w:sz w:val="28"/>
          <w:szCs w:val="28"/>
        </w:rPr>
      </w:pPr>
      <w:r>
        <w:rPr>
          <w:rFonts w:ascii="仿宋" w:eastAsia="仿宋" w:hAnsi="仿宋" w:hint="eastAsia"/>
          <w:bCs/>
          <w:sz w:val="28"/>
          <w:szCs w:val="28"/>
        </w:rPr>
        <w:t xml:space="preserve">工程施工严格执行国家、行业和地方的有关法规、规范。从原材料进场、施工过程、施工验收等每一个环节都进行严格检查控制。使工序质量指标严格控制在设计和规范要求的允许范围内，对工程质量超过允许范围的不得进入下道工序的施工。 </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sidR="00A57B1E">
        <w:rPr>
          <w:rFonts w:ascii="仿宋" w:eastAsia="仿宋" w:hAnsi="仿宋" w:hint="eastAsia"/>
          <w:bCs/>
          <w:sz w:val="28"/>
          <w:szCs w:val="28"/>
        </w:rPr>
        <w:t>7</w:t>
      </w:r>
      <w:r>
        <w:rPr>
          <w:rFonts w:ascii="仿宋" w:eastAsia="仿宋" w:hAnsi="仿宋" w:hint="eastAsia"/>
          <w:bCs/>
          <w:sz w:val="28"/>
          <w:szCs w:val="28"/>
        </w:rPr>
        <w:t>）项目档案管理</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有较完善的工程项目档案管理制度，严格执行档案管理要求，注重对原始资料在实施过程的收集和整理，分门别类组卷，档案资料做到真实、齐全、有效。</w:t>
      </w:r>
    </w:p>
    <w:p w:rsidR="000E4E2E" w:rsidRDefault="00046F11">
      <w:pPr>
        <w:spacing w:line="520" w:lineRule="exact"/>
        <w:ind w:firstLineChars="200" w:firstLine="560"/>
        <w:outlineLvl w:val="2"/>
        <w:rPr>
          <w:rFonts w:ascii="仿宋" w:eastAsia="仿宋" w:hAnsi="仿宋"/>
          <w:bCs/>
          <w:sz w:val="28"/>
          <w:szCs w:val="28"/>
        </w:rPr>
      </w:pPr>
      <w:bookmarkStart w:id="29" w:name="_Toc517708020"/>
      <w:r>
        <w:rPr>
          <w:rFonts w:ascii="仿宋" w:eastAsia="仿宋" w:hAnsi="仿宋" w:hint="eastAsia"/>
          <w:bCs/>
          <w:sz w:val="28"/>
          <w:szCs w:val="28"/>
        </w:rPr>
        <w:t>3.项目产出</w:t>
      </w:r>
      <w:bookmarkEnd w:id="29"/>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项目产出良好，项目在预定时间内及时实施完成，质量达标率达到预期。本项指标总分为30分，实际得分达到30分，得分率100%,项目产出具体评价如下：</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（1）灾后水利设施建设完成率</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2016年，武汉市遭遇98年以来历史最高洪水，武汉江滩吴淞高程28m以下亲水平台被洪水淹没长达30余天。江滩首次实施闸口封堵。持续高水位洪水造成江滩部分景观、园林设施损毁，同时带来</w:t>
      </w:r>
      <w:r>
        <w:rPr>
          <w:rFonts w:ascii="仿宋" w:eastAsia="仿宋" w:hAnsi="仿宋" w:hint="eastAsia"/>
          <w:bCs/>
          <w:sz w:val="28"/>
          <w:szCs w:val="28"/>
        </w:rPr>
        <w:lastRenderedPageBreak/>
        <w:t>次生灾害，导致部分堤防设施出现安全隐患，极大影响了景区环境，给市民游园带来诸多不便，影响江滩作为城市名片的形象，与创建5A级景区不相适应。为了尽早恢复江滩景区景观设施，根据《市委、市政府关于全市灾后水利建设的意见》安排，江滩开展水利工程灾后重建工作，经排查清理归纳整理项目清单，列入全市水利水毁应急修复工程。</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截止2017</w:t>
      </w:r>
      <w:r w:rsidR="002B0914">
        <w:rPr>
          <w:rFonts w:ascii="仿宋" w:eastAsia="仿宋" w:hAnsi="仿宋" w:hint="eastAsia"/>
          <w:bCs/>
          <w:sz w:val="28"/>
          <w:szCs w:val="28"/>
        </w:rPr>
        <w:t>年底</w:t>
      </w:r>
      <w:r>
        <w:rPr>
          <w:rFonts w:ascii="仿宋" w:eastAsia="仿宋" w:hAnsi="仿宋" w:hint="eastAsia"/>
          <w:bCs/>
          <w:sz w:val="28"/>
          <w:szCs w:val="28"/>
        </w:rPr>
        <w:t>江滩办共完成江滩水毁景观设施维修等20个子项水毁道路及景观设施恢复项目。灾后水利设施建设完成率100%。</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（2）运维工程完成率</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江滩内堤防设施由于建成和运行时间已有10</w:t>
      </w:r>
      <w:r w:rsidR="002B0914">
        <w:rPr>
          <w:rFonts w:ascii="仿宋" w:eastAsia="仿宋" w:hAnsi="仿宋" w:hint="eastAsia"/>
          <w:bCs/>
          <w:sz w:val="28"/>
          <w:szCs w:val="28"/>
        </w:rPr>
        <w:t>余年之久，部分设施出现老化、损坏等情况，</w:t>
      </w:r>
      <w:r>
        <w:rPr>
          <w:rFonts w:ascii="仿宋" w:eastAsia="仿宋" w:hAnsi="仿宋" w:hint="eastAsia"/>
          <w:bCs/>
          <w:sz w:val="28"/>
          <w:szCs w:val="28"/>
        </w:rPr>
        <w:t>每年均会对存在问题的堤防设施进行更新维护。2017年度的江滩堤防维护项目以更新改造江滩景观设施、基础服务设施及亮化设施为重点，以逐步改善江滩景区环境，提升江滩服务功能为目的进行维护。截止2017年底完成阳光步道、水池树阵、玻璃布道更换水泵彩灯电缆等项目。运维工程完成率100%。</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（3）建维工程质量达标程度</w:t>
      </w:r>
    </w:p>
    <w:p w:rsidR="000E4E2E" w:rsidRDefault="00086A58">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各项目分部工程验收记录资料</w:t>
      </w:r>
      <w:r w:rsidR="00046F11">
        <w:rPr>
          <w:rFonts w:ascii="仿宋" w:eastAsia="仿宋" w:hAnsi="仿宋" w:hint="eastAsia"/>
          <w:bCs/>
          <w:sz w:val="28"/>
          <w:szCs w:val="28"/>
        </w:rPr>
        <w:t>均符合设计要求和规范的规定，各验收记录中保证项目的质量情况符合设计要求和规范的规定，经监理单位、勘测设计单位和主管单位验收，工程达到设计标准。</w:t>
      </w:r>
    </w:p>
    <w:p w:rsidR="000E4E2E" w:rsidRDefault="00046F11">
      <w:pPr>
        <w:spacing w:line="520" w:lineRule="exact"/>
        <w:ind w:firstLineChars="100" w:firstLine="280"/>
        <w:rPr>
          <w:rFonts w:ascii="仿宋" w:eastAsia="仿宋" w:hAnsi="仿宋"/>
          <w:bCs/>
          <w:sz w:val="28"/>
          <w:szCs w:val="28"/>
        </w:rPr>
      </w:pPr>
      <w:r>
        <w:rPr>
          <w:rFonts w:ascii="仿宋" w:eastAsia="仿宋" w:hAnsi="仿宋" w:hint="eastAsia"/>
          <w:bCs/>
          <w:sz w:val="28"/>
          <w:szCs w:val="28"/>
        </w:rPr>
        <w:t>（4）完工及时率</w:t>
      </w:r>
    </w:p>
    <w:p w:rsidR="000E4E2E" w:rsidRDefault="00086A58">
      <w:pPr>
        <w:spacing w:line="520" w:lineRule="exact"/>
        <w:ind w:firstLineChars="150" w:firstLine="420"/>
        <w:rPr>
          <w:rFonts w:ascii="仿宋" w:eastAsia="仿宋" w:hAnsi="仿宋"/>
          <w:bCs/>
          <w:sz w:val="28"/>
          <w:szCs w:val="28"/>
        </w:rPr>
      </w:pPr>
      <w:r>
        <w:rPr>
          <w:rFonts w:ascii="仿宋" w:eastAsia="仿宋" w:hAnsi="仿宋" w:hint="eastAsia"/>
          <w:bCs/>
          <w:sz w:val="28"/>
          <w:szCs w:val="28"/>
        </w:rPr>
        <w:t>灾后重建项目及江滩运行维护管理</w:t>
      </w:r>
      <w:r w:rsidR="00046F11">
        <w:rPr>
          <w:rFonts w:ascii="仿宋" w:eastAsia="仿宋" w:hAnsi="仿宋" w:hint="eastAsia"/>
          <w:bCs/>
          <w:sz w:val="28"/>
          <w:szCs w:val="28"/>
        </w:rPr>
        <w:t>所有项目均在当年及时完工，完工及时率100%。</w:t>
      </w:r>
    </w:p>
    <w:p w:rsidR="000E4E2E" w:rsidRDefault="00046F11">
      <w:pPr>
        <w:spacing w:line="520" w:lineRule="exact"/>
        <w:ind w:firstLineChars="100" w:firstLine="280"/>
        <w:rPr>
          <w:rFonts w:ascii="仿宋" w:eastAsia="仿宋" w:hAnsi="仿宋"/>
          <w:bCs/>
          <w:sz w:val="28"/>
          <w:szCs w:val="28"/>
        </w:rPr>
      </w:pPr>
      <w:r>
        <w:rPr>
          <w:rFonts w:ascii="仿宋" w:eastAsia="仿宋" w:hAnsi="仿宋" w:hint="eastAsia"/>
          <w:bCs/>
          <w:sz w:val="28"/>
          <w:szCs w:val="28"/>
        </w:rPr>
        <w:t>（5）应急突发事件处理率</w:t>
      </w:r>
    </w:p>
    <w:p w:rsidR="000E4E2E" w:rsidRDefault="00046F11">
      <w:pPr>
        <w:spacing w:line="520" w:lineRule="exact"/>
        <w:ind w:firstLineChars="150" w:firstLine="420"/>
        <w:rPr>
          <w:rFonts w:ascii="仿宋" w:eastAsia="仿宋" w:hAnsi="仿宋"/>
          <w:bCs/>
          <w:sz w:val="28"/>
          <w:szCs w:val="28"/>
        </w:rPr>
      </w:pPr>
      <w:r>
        <w:rPr>
          <w:rFonts w:ascii="仿宋" w:eastAsia="仿宋" w:hAnsi="仿宋" w:hint="eastAsia"/>
          <w:bCs/>
          <w:sz w:val="28"/>
          <w:szCs w:val="28"/>
        </w:rPr>
        <w:t>每月的应急突发事件处理率均为100%。</w:t>
      </w:r>
    </w:p>
    <w:p w:rsidR="000E4E2E" w:rsidRDefault="00046F11">
      <w:pPr>
        <w:spacing w:line="520" w:lineRule="exact"/>
        <w:ind w:firstLineChars="200" w:firstLine="560"/>
        <w:outlineLvl w:val="2"/>
        <w:rPr>
          <w:rFonts w:ascii="仿宋" w:eastAsia="仿宋" w:hAnsi="仿宋"/>
          <w:bCs/>
          <w:sz w:val="28"/>
          <w:szCs w:val="28"/>
        </w:rPr>
      </w:pPr>
      <w:bookmarkStart w:id="30" w:name="_Toc517708021"/>
      <w:r>
        <w:rPr>
          <w:rFonts w:ascii="仿宋" w:eastAsia="仿宋" w:hAnsi="仿宋" w:hint="eastAsia"/>
          <w:bCs/>
          <w:sz w:val="28"/>
          <w:szCs w:val="28"/>
        </w:rPr>
        <w:t>4.项目效果</w:t>
      </w:r>
      <w:bookmarkEnd w:id="30"/>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项目建成后为当地的居民提供良好的户外环境，为城市的可持</w:t>
      </w:r>
      <w:r>
        <w:rPr>
          <w:rFonts w:ascii="仿宋" w:eastAsia="仿宋" w:hAnsi="仿宋" w:hint="eastAsia"/>
          <w:bCs/>
          <w:sz w:val="28"/>
          <w:szCs w:val="28"/>
        </w:rPr>
        <w:lastRenderedPageBreak/>
        <w:t>续发展创造了条件，对提升城市功能、塑造城市形象均起到了积极的作用。本项指标总分为30分，实际得分达28分，得分率93.33%,项目效果具体评价如下：</w:t>
      </w:r>
    </w:p>
    <w:p w:rsidR="000E4E2E" w:rsidRDefault="00046F11">
      <w:pPr>
        <w:spacing w:line="520" w:lineRule="exact"/>
        <w:ind w:firstLineChars="150" w:firstLine="420"/>
        <w:rPr>
          <w:rFonts w:ascii="仿宋" w:eastAsia="仿宋" w:hAnsi="仿宋"/>
          <w:bCs/>
          <w:sz w:val="28"/>
          <w:szCs w:val="28"/>
        </w:rPr>
      </w:pPr>
      <w:r>
        <w:rPr>
          <w:rFonts w:ascii="仿宋" w:eastAsia="仿宋" w:hAnsi="仿宋" w:hint="eastAsia"/>
          <w:bCs/>
          <w:sz w:val="28"/>
          <w:szCs w:val="28"/>
        </w:rPr>
        <w:t>（1）塑造城市形象能力</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围绕规划优化长江主轴江滩核心区的目标，不断提升江滩景观品质、文化品格和服务品位。完善横渡长江文化园建设，成功迁入“7.16艇”并建成展示平台，形成江滩新的标志性文化景观，凸显长江文化；主动对接、参与长江主轴规划，升级江滩厢式防洪墙沿线绿化，美化生态景观；梳理亮化层次，调整二级平台柳树亮化方向，打造江滩亮化层次感，提升亮化设施。</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项目建成后为当地的居民提供良好的户外环境，对提升城市功能、塑造城市形象起到了较明显积极的作用。</w:t>
      </w:r>
    </w:p>
    <w:p w:rsidR="000E4E2E" w:rsidRDefault="00046F11">
      <w:pPr>
        <w:spacing w:line="520" w:lineRule="exact"/>
        <w:ind w:firstLineChars="100" w:firstLine="280"/>
        <w:rPr>
          <w:rFonts w:ascii="仿宋" w:eastAsia="仿宋" w:hAnsi="仿宋"/>
          <w:bCs/>
          <w:sz w:val="28"/>
          <w:szCs w:val="28"/>
        </w:rPr>
      </w:pPr>
      <w:r>
        <w:rPr>
          <w:rFonts w:ascii="仿宋" w:eastAsia="仿宋" w:hAnsi="仿宋" w:hint="eastAsia"/>
          <w:bCs/>
          <w:sz w:val="28"/>
          <w:szCs w:val="28"/>
        </w:rPr>
        <w:t>（2）生活环境改善程度</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截止20</w:t>
      </w:r>
      <w:r>
        <w:rPr>
          <w:rFonts w:ascii="仿宋" w:eastAsia="仿宋" w:hAnsi="仿宋"/>
          <w:bCs/>
          <w:sz w:val="28"/>
          <w:szCs w:val="28"/>
        </w:rPr>
        <w:t>17</w:t>
      </w:r>
      <w:r>
        <w:rPr>
          <w:rFonts w:ascii="仿宋" w:eastAsia="仿宋" w:hAnsi="仿宋" w:hint="eastAsia"/>
          <w:bCs/>
          <w:sz w:val="28"/>
          <w:szCs w:val="28"/>
        </w:rPr>
        <w:t>年</w:t>
      </w:r>
      <w:r>
        <w:rPr>
          <w:rFonts w:ascii="仿宋" w:eastAsia="仿宋" w:hAnsi="仿宋"/>
          <w:bCs/>
          <w:sz w:val="28"/>
          <w:szCs w:val="28"/>
        </w:rPr>
        <w:t>，</w:t>
      </w:r>
      <w:r>
        <w:rPr>
          <w:rFonts w:ascii="仿宋" w:eastAsia="仿宋" w:hAnsi="仿宋" w:hint="eastAsia"/>
          <w:bCs/>
          <w:sz w:val="28"/>
          <w:szCs w:val="28"/>
        </w:rPr>
        <w:t>武汉江滩</w:t>
      </w:r>
      <w:r>
        <w:rPr>
          <w:rFonts w:ascii="仿宋" w:eastAsia="仿宋" w:hAnsi="仿宋"/>
          <w:bCs/>
          <w:sz w:val="28"/>
          <w:szCs w:val="28"/>
        </w:rPr>
        <w:t>已建成面积</w:t>
      </w:r>
      <w:r>
        <w:rPr>
          <w:rFonts w:ascii="仿宋" w:eastAsia="仿宋" w:hAnsi="仿宋" w:hint="eastAsia"/>
          <w:bCs/>
          <w:sz w:val="28"/>
          <w:szCs w:val="28"/>
        </w:rPr>
        <w:t>超过</w:t>
      </w:r>
      <w:r>
        <w:rPr>
          <w:rFonts w:ascii="仿宋" w:eastAsia="仿宋" w:hAnsi="仿宋"/>
          <w:bCs/>
          <w:sz w:val="28"/>
          <w:szCs w:val="28"/>
        </w:rPr>
        <w:t>5</w:t>
      </w:r>
      <w:r>
        <w:rPr>
          <w:rFonts w:ascii="仿宋" w:eastAsia="仿宋" w:hAnsi="仿宋" w:hint="eastAsia"/>
          <w:bCs/>
          <w:sz w:val="28"/>
          <w:szCs w:val="28"/>
        </w:rPr>
        <w:t>00</w:t>
      </w:r>
      <w:r>
        <w:rPr>
          <w:rFonts w:ascii="仿宋" w:eastAsia="仿宋" w:hAnsi="仿宋"/>
          <w:bCs/>
          <w:sz w:val="28"/>
          <w:szCs w:val="28"/>
        </w:rPr>
        <w:t>万</w:t>
      </w:r>
      <w:r>
        <w:rPr>
          <w:rFonts w:ascii="仿宋" w:eastAsia="仿宋" w:hAnsi="仿宋" w:hint="eastAsia"/>
          <w:bCs/>
          <w:sz w:val="28"/>
          <w:szCs w:val="28"/>
        </w:rPr>
        <w:t>m</w:t>
      </w:r>
      <w:r>
        <w:rPr>
          <w:rFonts w:ascii="仿宋" w:eastAsia="仿宋" w:hAnsi="仿宋"/>
          <w:bCs/>
          <w:sz w:val="28"/>
          <w:szCs w:val="28"/>
        </w:rPr>
        <w:t>2，全长</w:t>
      </w:r>
      <w:r>
        <w:rPr>
          <w:rFonts w:ascii="仿宋" w:eastAsia="仿宋" w:hAnsi="仿宋" w:hint="eastAsia"/>
          <w:bCs/>
          <w:sz w:val="28"/>
          <w:szCs w:val="28"/>
        </w:rPr>
        <w:t>约</w:t>
      </w:r>
      <w:r>
        <w:rPr>
          <w:rFonts w:ascii="仿宋" w:eastAsia="仿宋" w:hAnsi="仿宋"/>
          <w:bCs/>
          <w:sz w:val="28"/>
          <w:szCs w:val="28"/>
        </w:rPr>
        <w:t>50km，集防洪、景观、旅游、休闲、健身等功能于一体，为全天候免费开放式群众游园。</w:t>
      </w:r>
      <w:r>
        <w:rPr>
          <w:rFonts w:ascii="仿宋" w:eastAsia="仿宋" w:hAnsi="仿宋" w:hint="eastAsia"/>
          <w:bCs/>
          <w:sz w:val="28"/>
          <w:szCs w:val="28"/>
        </w:rPr>
        <w:t>项目建设</w:t>
      </w:r>
      <w:r>
        <w:rPr>
          <w:rFonts w:ascii="仿宋" w:eastAsia="仿宋" w:hAnsi="仿宋"/>
          <w:bCs/>
          <w:sz w:val="28"/>
          <w:szCs w:val="28"/>
        </w:rPr>
        <w:t>以更新</w:t>
      </w:r>
      <w:r>
        <w:rPr>
          <w:rFonts w:ascii="仿宋" w:eastAsia="仿宋" w:hAnsi="仿宋" w:hint="eastAsia"/>
          <w:bCs/>
          <w:sz w:val="28"/>
          <w:szCs w:val="28"/>
        </w:rPr>
        <w:t>改造</w:t>
      </w:r>
      <w:r>
        <w:rPr>
          <w:rFonts w:ascii="仿宋" w:eastAsia="仿宋" w:hAnsi="仿宋"/>
          <w:bCs/>
          <w:sz w:val="28"/>
          <w:szCs w:val="28"/>
        </w:rPr>
        <w:t>江滩景观设施</w:t>
      </w:r>
      <w:r>
        <w:rPr>
          <w:rFonts w:ascii="仿宋" w:eastAsia="仿宋" w:hAnsi="仿宋" w:hint="eastAsia"/>
          <w:bCs/>
          <w:sz w:val="28"/>
          <w:szCs w:val="28"/>
        </w:rPr>
        <w:t>、</w:t>
      </w:r>
      <w:r>
        <w:rPr>
          <w:rFonts w:ascii="仿宋" w:eastAsia="仿宋" w:hAnsi="仿宋"/>
          <w:bCs/>
          <w:sz w:val="28"/>
          <w:szCs w:val="28"/>
        </w:rPr>
        <w:t>基础服务设施</w:t>
      </w:r>
      <w:r>
        <w:rPr>
          <w:rFonts w:ascii="仿宋" w:eastAsia="仿宋" w:hAnsi="仿宋" w:hint="eastAsia"/>
          <w:bCs/>
          <w:sz w:val="28"/>
          <w:szCs w:val="28"/>
        </w:rPr>
        <w:t>及</w:t>
      </w:r>
      <w:r>
        <w:rPr>
          <w:rFonts w:ascii="仿宋" w:eastAsia="仿宋" w:hAnsi="仿宋"/>
          <w:bCs/>
          <w:sz w:val="28"/>
          <w:szCs w:val="28"/>
        </w:rPr>
        <w:t>亮化设施为重点，以逐步改善江滩景区环境，提升江滩服务功能为目的进行维护。</w:t>
      </w:r>
      <w:r>
        <w:rPr>
          <w:rFonts w:ascii="仿宋" w:eastAsia="仿宋" w:hAnsi="仿宋" w:hint="eastAsia"/>
          <w:bCs/>
          <w:sz w:val="28"/>
          <w:szCs w:val="28"/>
        </w:rPr>
        <w:t>维修后提升了江滩整体绿化、亮化环境，对江滩内部的生态环境保护、基础性科普教育、及区域经济的发展产生非常巨大的影响和推动作用。</w:t>
      </w:r>
    </w:p>
    <w:p w:rsidR="000E4E2E" w:rsidRDefault="00046F11">
      <w:pPr>
        <w:spacing w:line="520" w:lineRule="exact"/>
        <w:ind w:firstLineChars="100" w:firstLine="280"/>
        <w:rPr>
          <w:rFonts w:ascii="仿宋" w:eastAsia="仿宋" w:hAnsi="仿宋"/>
          <w:bCs/>
          <w:sz w:val="28"/>
          <w:szCs w:val="28"/>
        </w:rPr>
      </w:pPr>
      <w:r>
        <w:rPr>
          <w:rFonts w:ascii="仿宋" w:eastAsia="仿宋" w:hAnsi="仿宋" w:hint="eastAsia"/>
          <w:bCs/>
          <w:sz w:val="28"/>
          <w:szCs w:val="28"/>
        </w:rPr>
        <w:t>（3）可持续影响</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根据长江主轴规划和“四水共治”要求，规划优化长江主轴江滩核心区，着重加强文化景观和文化活动的创新提升，凸显长江主轴文化特色；继续强化基础设施建设、完善景区交通、优化服务设施、提升服务市民游客的水平；致力提升江滩管理服务水平和文化影响力，推动江滩创新发展。</w:t>
      </w:r>
    </w:p>
    <w:p w:rsidR="000E4E2E" w:rsidRDefault="00046F11">
      <w:pPr>
        <w:spacing w:line="520" w:lineRule="exact"/>
        <w:ind w:firstLineChars="100" w:firstLine="280"/>
        <w:rPr>
          <w:rFonts w:ascii="仿宋" w:eastAsia="仿宋" w:hAnsi="仿宋"/>
          <w:bCs/>
          <w:sz w:val="28"/>
          <w:szCs w:val="28"/>
        </w:rPr>
      </w:pPr>
      <w:r>
        <w:rPr>
          <w:rFonts w:ascii="仿宋" w:eastAsia="仿宋" w:hAnsi="仿宋" w:hint="eastAsia"/>
          <w:bCs/>
          <w:sz w:val="28"/>
          <w:szCs w:val="28"/>
        </w:rPr>
        <w:lastRenderedPageBreak/>
        <w:t>（4）投诉件办理满意率</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w:t>
      </w:r>
      <w:r w:rsidR="002B0914">
        <w:rPr>
          <w:rFonts w:ascii="仿宋" w:eastAsia="仿宋" w:hAnsi="仿宋" w:hint="eastAsia"/>
          <w:bCs/>
          <w:sz w:val="28"/>
          <w:szCs w:val="28"/>
        </w:rPr>
        <w:t>年度，</w:t>
      </w:r>
      <w:r>
        <w:rPr>
          <w:rFonts w:ascii="仿宋" w:eastAsia="仿宋" w:hAnsi="仿宋" w:hint="eastAsia"/>
          <w:bCs/>
          <w:sz w:val="28"/>
          <w:szCs w:val="28"/>
        </w:rPr>
        <w:t>收到市民游客通过市长热线、城市留言板等投诉渠道投诉件515起，针对以上投诉件均已及时回复完毕。其中转办件86起，不满意件19起，满意率约为96.3%。</w:t>
      </w:r>
    </w:p>
    <w:p w:rsidR="000E4E2E" w:rsidRDefault="00046F11" w:rsidP="002B0914">
      <w:pPr>
        <w:spacing w:beforeLines="50" w:before="156" w:afterLines="50" w:after="156" w:line="520" w:lineRule="exact"/>
        <w:ind w:firstLineChars="50" w:firstLine="140"/>
        <w:outlineLvl w:val="1"/>
        <w:rPr>
          <w:rFonts w:ascii="仿宋" w:eastAsia="仿宋" w:hAnsi="仿宋"/>
          <w:sz w:val="28"/>
          <w:szCs w:val="28"/>
        </w:rPr>
      </w:pPr>
      <w:bookmarkStart w:id="31" w:name="_Toc517708022"/>
      <w:r>
        <w:rPr>
          <w:rFonts w:ascii="仿宋" w:eastAsia="仿宋" w:hAnsi="仿宋" w:hint="eastAsia"/>
          <w:sz w:val="28"/>
          <w:szCs w:val="28"/>
        </w:rPr>
        <w:t>（二）评价结论</w:t>
      </w:r>
      <w:bookmarkEnd w:id="31"/>
    </w:p>
    <w:p w:rsidR="000E4E2E" w:rsidRDefault="00046F11" w:rsidP="002B0914">
      <w:pPr>
        <w:spacing w:beforeLines="50" w:before="156" w:afterLines="50" w:after="156" w:line="520" w:lineRule="exact"/>
        <w:ind w:firstLineChars="200" w:firstLine="560"/>
        <w:outlineLvl w:val="2"/>
        <w:rPr>
          <w:rFonts w:ascii="仿宋" w:eastAsia="仿宋" w:hAnsi="仿宋"/>
          <w:sz w:val="28"/>
          <w:szCs w:val="28"/>
        </w:rPr>
      </w:pPr>
      <w:bookmarkStart w:id="32" w:name="_Toc517708023"/>
      <w:r>
        <w:rPr>
          <w:rFonts w:ascii="仿宋" w:eastAsia="仿宋" w:hAnsi="仿宋" w:hint="eastAsia"/>
          <w:sz w:val="28"/>
          <w:szCs w:val="28"/>
        </w:rPr>
        <w:t>1.综合评分结果</w:t>
      </w:r>
      <w:bookmarkEnd w:id="32"/>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276"/>
        <w:gridCol w:w="1417"/>
        <w:gridCol w:w="1701"/>
        <w:gridCol w:w="1418"/>
      </w:tblGrid>
      <w:tr w:rsidR="000E4E2E">
        <w:trPr>
          <w:trHeight w:hRule="exact" w:val="648"/>
          <w:tblHeader/>
          <w:jc w:val="center"/>
        </w:trPr>
        <w:tc>
          <w:tcPr>
            <w:tcW w:w="1418" w:type="dxa"/>
            <w:vAlign w:val="center"/>
          </w:tcPr>
          <w:p w:rsidR="000E4E2E" w:rsidRDefault="00046F11">
            <w:pPr>
              <w:widowControl/>
              <w:jc w:val="center"/>
              <w:rPr>
                <w:rFonts w:ascii="仿宋" w:eastAsia="仿宋" w:hAnsi="仿宋" w:cs="仿宋"/>
                <w:b/>
                <w:kern w:val="0"/>
                <w:szCs w:val="21"/>
              </w:rPr>
            </w:pPr>
            <w:r>
              <w:rPr>
                <w:rFonts w:ascii="仿宋" w:eastAsia="仿宋" w:hAnsi="仿宋" w:cs="仿宋" w:hint="eastAsia"/>
                <w:b/>
                <w:kern w:val="0"/>
                <w:szCs w:val="21"/>
              </w:rPr>
              <w:t>评价指标</w:t>
            </w:r>
          </w:p>
        </w:tc>
        <w:tc>
          <w:tcPr>
            <w:tcW w:w="992" w:type="dxa"/>
            <w:vAlign w:val="center"/>
          </w:tcPr>
          <w:p w:rsidR="000E4E2E" w:rsidRDefault="00046F11">
            <w:pPr>
              <w:widowControl/>
              <w:jc w:val="center"/>
              <w:rPr>
                <w:rFonts w:ascii="仿宋" w:eastAsia="仿宋" w:hAnsi="仿宋" w:cs="仿宋"/>
                <w:b/>
                <w:kern w:val="0"/>
                <w:szCs w:val="21"/>
              </w:rPr>
            </w:pPr>
            <w:r>
              <w:rPr>
                <w:rFonts w:ascii="仿宋" w:eastAsia="仿宋" w:hAnsi="仿宋" w:cs="仿宋" w:hint="eastAsia"/>
                <w:b/>
                <w:kern w:val="0"/>
                <w:szCs w:val="21"/>
              </w:rPr>
              <w:t>权重</w:t>
            </w:r>
          </w:p>
        </w:tc>
        <w:tc>
          <w:tcPr>
            <w:tcW w:w="1276" w:type="dxa"/>
            <w:vAlign w:val="center"/>
          </w:tcPr>
          <w:p w:rsidR="000E4E2E" w:rsidRDefault="00046F11">
            <w:pPr>
              <w:widowControl/>
              <w:jc w:val="center"/>
              <w:rPr>
                <w:rFonts w:ascii="仿宋" w:eastAsia="仿宋" w:hAnsi="仿宋" w:cs="仿宋"/>
                <w:b/>
                <w:kern w:val="0"/>
                <w:szCs w:val="21"/>
              </w:rPr>
            </w:pPr>
            <w:r>
              <w:rPr>
                <w:rFonts w:ascii="仿宋" w:eastAsia="仿宋" w:hAnsi="仿宋" w:cs="仿宋" w:hint="eastAsia"/>
                <w:b/>
                <w:kern w:val="0"/>
                <w:szCs w:val="21"/>
              </w:rPr>
              <w:t>评级分值</w:t>
            </w:r>
          </w:p>
        </w:tc>
        <w:tc>
          <w:tcPr>
            <w:tcW w:w="1417" w:type="dxa"/>
            <w:vAlign w:val="center"/>
          </w:tcPr>
          <w:p w:rsidR="000E4E2E" w:rsidRDefault="00046F11">
            <w:pPr>
              <w:widowControl/>
              <w:jc w:val="center"/>
              <w:rPr>
                <w:rFonts w:ascii="仿宋" w:eastAsia="仿宋" w:hAnsi="仿宋" w:cs="仿宋"/>
                <w:b/>
                <w:kern w:val="0"/>
                <w:szCs w:val="21"/>
              </w:rPr>
            </w:pPr>
            <w:r>
              <w:rPr>
                <w:rFonts w:ascii="仿宋" w:eastAsia="仿宋" w:hAnsi="仿宋" w:cs="仿宋" w:hint="eastAsia"/>
                <w:b/>
                <w:kern w:val="0"/>
                <w:szCs w:val="21"/>
              </w:rPr>
              <w:t>项目得分</w:t>
            </w:r>
          </w:p>
        </w:tc>
        <w:tc>
          <w:tcPr>
            <w:tcW w:w="1701" w:type="dxa"/>
            <w:vAlign w:val="center"/>
          </w:tcPr>
          <w:p w:rsidR="000E4E2E" w:rsidRDefault="00046F11">
            <w:pPr>
              <w:widowControl/>
              <w:jc w:val="center"/>
              <w:rPr>
                <w:rFonts w:ascii="仿宋" w:eastAsia="仿宋" w:hAnsi="仿宋" w:cs="仿宋"/>
                <w:b/>
                <w:kern w:val="0"/>
                <w:szCs w:val="21"/>
              </w:rPr>
            </w:pPr>
            <w:r>
              <w:rPr>
                <w:rFonts w:ascii="仿宋" w:eastAsia="仿宋" w:hAnsi="仿宋" w:cs="仿宋" w:hint="eastAsia"/>
                <w:b/>
                <w:kern w:val="0"/>
                <w:szCs w:val="21"/>
              </w:rPr>
              <w:t>得分率</w:t>
            </w:r>
          </w:p>
        </w:tc>
        <w:tc>
          <w:tcPr>
            <w:tcW w:w="1418" w:type="dxa"/>
            <w:vAlign w:val="center"/>
          </w:tcPr>
          <w:p w:rsidR="000E4E2E" w:rsidRDefault="00046F11">
            <w:pPr>
              <w:jc w:val="center"/>
              <w:rPr>
                <w:rFonts w:ascii="仿宋" w:eastAsia="仿宋" w:hAnsi="仿宋" w:cs="仿宋"/>
                <w:b/>
                <w:kern w:val="0"/>
                <w:szCs w:val="21"/>
              </w:rPr>
            </w:pPr>
            <w:r>
              <w:rPr>
                <w:rFonts w:ascii="仿宋" w:eastAsia="仿宋" w:hAnsi="仿宋" w:cs="仿宋" w:hint="eastAsia"/>
                <w:b/>
                <w:kern w:val="0"/>
                <w:szCs w:val="21"/>
              </w:rPr>
              <w:t>评价级别</w:t>
            </w:r>
          </w:p>
        </w:tc>
      </w:tr>
      <w:tr w:rsidR="000E4E2E">
        <w:trPr>
          <w:trHeight w:hRule="exact" w:val="436"/>
          <w:jc w:val="center"/>
        </w:trPr>
        <w:tc>
          <w:tcPr>
            <w:tcW w:w="1418"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项目投入</w:t>
            </w:r>
          </w:p>
        </w:tc>
        <w:tc>
          <w:tcPr>
            <w:tcW w:w="992"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12%</w:t>
            </w:r>
          </w:p>
        </w:tc>
        <w:tc>
          <w:tcPr>
            <w:tcW w:w="1276"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12</w:t>
            </w:r>
          </w:p>
        </w:tc>
        <w:tc>
          <w:tcPr>
            <w:tcW w:w="1417"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11.50</w:t>
            </w:r>
          </w:p>
        </w:tc>
        <w:tc>
          <w:tcPr>
            <w:tcW w:w="1701"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95.83%</w:t>
            </w:r>
          </w:p>
        </w:tc>
        <w:tc>
          <w:tcPr>
            <w:tcW w:w="1418" w:type="dxa"/>
            <w:vAlign w:val="center"/>
          </w:tcPr>
          <w:p w:rsidR="000E4E2E" w:rsidRDefault="00046F11">
            <w:pPr>
              <w:jc w:val="center"/>
              <w:rPr>
                <w:rFonts w:ascii="仿宋" w:eastAsia="仿宋" w:hAnsi="仿宋" w:cs="仿宋"/>
                <w:kern w:val="0"/>
                <w:szCs w:val="21"/>
              </w:rPr>
            </w:pPr>
            <w:r>
              <w:rPr>
                <w:rFonts w:ascii="仿宋" w:eastAsia="仿宋" w:hAnsi="仿宋" w:cs="仿宋" w:hint="eastAsia"/>
                <w:kern w:val="0"/>
                <w:szCs w:val="21"/>
              </w:rPr>
              <w:t>优</w:t>
            </w:r>
          </w:p>
        </w:tc>
      </w:tr>
      <w:tr w:rsidR="000E4E2E">
        <w:trPr>
          <w:trHeight w:hRule="exact" w:val="414"/>
          <w:jc w:val="center"/>
        </w:trPr>
        <w:tc>
          <w:tcPr>
            <w:tcW w:w="1418"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项目过程</w:t>
            </w:r>
          </w:p>
        </w:tc>
        <w:tc>
          <w:tcPr>
            <w:tcW w:w="992"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276"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417"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26</w:t>
            </w:r>
          </w:p>
        </w:tc>
        <w:tc>
          <w:tcPr>
            <w:tcW w:w="1701"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92.86%</w:t>
            </w:r>
          </w:p>
        </w:tc>
        <w:tc>
          <w:tcPr>
            <w:tcW w:w="1418" w:type="dxa"/>
            <w:vAlign w:val="center"/>
          </w:tcPr>
          <w:p w:rsidR="000E4E2E" w:rsidRDefault="00046F11">
            <w:pPr>
              <w:jc w:val="center"/>
              <w:rPr>
                <w:rFonts w:ascii="仿宋" w:eastAsia="仿宋" w:hAnsi="仿宋" w:cs="仿宋"/>
                <w:kern w:val="0"/>
                <w:szCs w:val="21"/>
              </w:rPr>
            </w:pPr>
            <w:r>
              <w:rPr>
                <w:rFonts w:ascii="仿宋" w:eastAsia="仿宋" w:hAnsi="仿宋" w:cs="仿宋" w:hint="eastAsia"/>
                <w:kern w:val="0"/>
                <w:szCs w:val="21"/>
              </w:rPr>
              <w:t>优</w:t>
            </w:r>
          </w:p>
        </w:tc>
      </w:tr>
      <w:tr w:rsidR="000E4E2E">
        <w:trPr>
          <w:trHeight w:hRule="exact" w:val="421"/>
          <w:jc w:val="center"/>
        </w:trPr>
        <w:tc>
          <w:tcPr>
            <w:tcW w:w="1418"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项目产出</w:t>
            </w:r>
          </w:p>
        </w:tc>
        <w:tc>
          <w:tcPr>
            <w:tcW w:w="992"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276"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417"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701"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100%</w:t>
            </w:r>
          </w:p>
        </w:tc>
        <w:tc>
          <w:tcPr>
            <w:tcW w:w="1418" w:type="dxa"/>
            <w:vAlign w:val="center"/>
          </w:tcPr>
          <w:p w:rsidR="000E4E2E" w:rsidRDefault="00046F11">
            <w:pPr>
              <w:jc w:val="center"/>
              <w:rPr>
                <w:rFonts w:ascii="仿宋" w:eastAsia="仿宋" w:hAnsi="仿宋" w:cs="仿宋"/>
                <w:kern w:val="0"/>
                <w:szCs w:val="21"/>
              </w:rPr>
            </w:pPr>
            <w:r>
              <w:rPr>
                <w:rFonts w:ascii="仿宋" w:eastAsia="仿宋" w:hAnsi="仿宋" w:cs="仿宋" w:hint="eastAsia"/>
                <w:kern w:val="0"/>
                <w:szCs w:val="21"/>
              </w:rPr>
              <w:t>优</w:t>
            </w:r>
          </w:p>
        </w:tc>
      </w:tr>
      <w:tr w:rsidR="000E4E2E">
        <w:trPr>
          <w:trHeight w:hRule="exact" w:val="427"/>
          <w:jc w:val="center"/>
        </w:trPr>
        <w:tc>
          <w:tcPr>
            <w:tcW w:w="1418"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项目效果</w:t>
            </w:r>
          </w:p>
        </w:tc>
        <w:tc>
          <w:tcPr>
            <w:tcW w:w="992"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276"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417"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701"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93.33%</w:t>
            </w:r>
          </w:p>
        </w:tc>
        <w:tc>
          <w:tcPr>
            <w:tcW w:w="1418" w:type="dxa"/>
            <w:vAlign w:val="center"/>
          </w:tcPr>
          <w:p w:rsidR="000E4E2E" w:rsidRDefault="00046F11">
            <w:pPr>
              <w:jc w:val="center"/>
              <w:rPr>
                <w:rFonts w:ascii="仿宋" w:eastAsia="仿宋" w:hAnsi="仿宋" w:cs="仿宋"/>
                <w:kern w:val="0"/>
                <w:szCs w:val="21"/>
              </w:rPr>
            </w:pPr>
            <w:r>
              <w:rPr>
                <w:rFonts w:ascii="仿宋" w:eastAsia="仿宋" w:hAnsi="仿宋" w:cs="仿宋" w:hint="eastAsia"/>
                <w:kern w:val="0"/>
                <w:szCs w:val="21"/>
              </w:rPr>
              <w:t>优</w:t>
            </w:r>
          </w:p>
        </w:tc>
      </w:tr>
      <w:tr w:rsidR="000E4E2E">
        <w:trPr>
          <w:trHeight w:hRule="exact" w:val="454"/>
          <w:jc w:val="center"/>
        </w:trPr>
        <w:tc>
          <w:tcPr>
            <w:tcW w:w="1418"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综合绩效</w:t>
            </w:r>
          </w:p>
        </w:tc>
        <w:tc>
          <w:tcPr>
            <w:tcW w:w="992"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100%</w:t>
            </w:r>
          </w:p>
        </w:tc>
        <w:tc>
          <w:tcPr>
            <w:tcW w:w="1276"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100</w:t>
            </w:r>
          </w:p>
        </w:tc>
        <w:tc>
          <w:tcPr>
            <w:tcW w:w="1417"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95.50</w:t>
            </w:r>
          </w:p>
        </w:tc>
        <w:tc>
          <w:tcPr>
            <w:tcW w:w="1701" w:type="dxa"/>
            <w:vAlign w:val="center"/>
          </w:tcPr>
          <w:p w:rsidR="000E4E2E" w:rsidRDefault="00046F11">
            <w:pPr>
              <w:widowControl/>
              <w:jc w:val="center"/>
              <w:rPr>
                <w:rFonts w:ascii="仿宋" w:eastAsia="仿宋" w:hAnsi="仿宋" w:cs="仿宋"/>
                <w:kern w:val="0"/>
                <w:szCs w:val="21"/>
              </w:rPr>
            </w:pPr>
            <w:r>
              <w:rPr>
                <w:rFonts w:ascii="仿宋" w:eastAsia="仿宋" w:hAnsi="仿宋" w:cs="仿宋" w:hint="eastAsia"/>
                <w:kern w:val="0"/>
                <w:szCs w:val="21"/>
              </w:rPr>
              <w:t>95.50%</w:t>
            </w:r>
          </w:p>
        </w:tc>
        <w:tc>
          <w:tcPr>
            <w:tcW w:w="1418" w:type="dxa"/>
            <w:vAlign w:val="center"/>
          </w:tcPr>
          <w:p w:rsidR="000E4E2E" w:rsidRDefault="00046F11">
            <w:pPr>
              <w:jc w:val="center"/>
              <w:rPr>
                <w:rFonts w:ascii="仿宋" w:eastAsia="仿宋" w:hAnsi="仿宋" w:cs="仿宋"/>
                <w:kern w:val="0"/>
                <w:szCs w:val="21"/>
              </w:rPr>
            </w:pPr>
            <w:r>
              <w:rPr>
                <w:rFonts w:ascii="仿宋" w:eastAsia="仿宋" w:hAnsi="仿宋" w:cs="仿宋" w:hint="eastAsia"/>
                <w:kern w:val="0"/>
                <w:szCs w:val="21"/>
              </w:rPr>
              <w:t>优</w:t>
            </w:r>
          </w:p>
        </w:tc>
      </w:tr>
    </w:tbl>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从投入来看，项目立项依据充分，立项申请符合规定，可研报告内容完整，编制科学、实事求是，绩效目标明确、合理，项目资金按计划投入到位，资金拨付及时。</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从过程来看，项目资金使用按照计划执行，符合国家财经法规和财务管理制度以及有关专项资管理办法的规定。项目资金拨付与使用有规范的审批流程和手续。</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从产出来看，项目产出良好，项目在预定时间内及时实施完成，应急突发事件处理能力强。</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从效果来看，项目的实施对江滩内部的生态环境保护、基础性科普教育、及区域经济的发展产生非常较大的影响和推动作用，为当地的居民提供良好的户外环境，受到社会各界认可。</w:t>
      </w:r>
    </w:p>
    <w:p w:rsidR="000E4E2E" w:rsidRDefault="00046F11">
      <w:pPr>
        <w:spacing w:line="520" w:lineRule="exact"/>
        <w:ind w:firstLineChars="200" w:firstLine="560"/>
        <w:outlineLvl w:val="2"/>
        <w:rPr>
          <w:rFonts w:ascii="仿宋" w:eastAsia="仿宋" w:hAnsi="仿宋"/>
          <w:bCs/>
          <w:sz w:val="28"/>
          <w:szCs w:val="28"/>
        </w:rPr>
      </w:pPr>
      <w:bookmarkStart w:id="33" w:name="_Toc517708024"/>
      <w:r>
        <w:rPr>
          <w:rFonts w:ascii="仿宋" w:eastAsia="仿宋" w:hAnsi="仿宋" w:hint="eastAsia"/>
          <w:bCs/>
          <w:sz w:val="28"/>
          <w:szCs w:val="28"/>
        </w:rPr>
        <w:t>2.主要结论</w:t>
      </w:r>
      <w:bookmarkEnd w:id="33"/>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本次项目绩效评价结果为“优”。项目符合长江主轴规划和“四水共治”要求，项目立项依据充分；财务和项目工程管理工作较规</w:t>
      </w:r>
      <w:r>
        <w:rPr>
          <w:rFonts w:ascii="仿宋" w:eastAsia="仿宋" w:hAnsi="仿宋" w:hint="eastAsia"/>
          <w:bCs/>
          <w:sz w:val="28"/>
          <w:szCs w:val="28"/>
        </w:rPr>
        <w:lastRenderedPageBreak/>
        <w:t>范；项目建设完成及时，处理应急突发事件能力强；项目社会效益、环境效益明显。项目实施后对江滩内部的生态环境保护、基础性科普教育、及区域经济的发展产生非常较大的影响和推动作用。</w:t>
      </w:r>
    </w:p>
    <w:p w:rsidR="000E4E2E" w:rsidRDefault="00046F11">
      <w:pPr>
        <w:spacing w:line="520" w:lineRule="exact"/>
        <w:ind w:firstLineChars="200" w:firstLine="560"/>
        <w:outlineLvl w:val="0"/>
        <w:rPr>
          <w:rFonts w:ascii="黑体" w:eastAsia="黑体" w:hAnsi="黑体" w:cs="黑体"/>
          <w:sz w:val="28"/>
          <w:szCs w:val="28"/>
        </w:rPr>
      </w:pPr>
      <w:bookmarkStart w:id="34" w:name="_Toc511502547"/>
      <w:bookmarkStart w:id="35" w:name="_Toc7491"/>
      <w:bookmarkStart w:id="36" w:name="_Toc517708025"/>
      <w:r>
        <w:rPr>
          <w:rFonts w:ascii="黑体" w:eastAsia="黑体" w:hAnsi="黑体" w:cs="黑体" w:hint="eastAsia"/>
          <w:sz w:val="28"/>
          <w:szCs w:val="28"/>
        </w:rPr>
        <w:t>四、主要经验及做法、存在的问题</w:t>
      </w:r>
      <w:bookmarkEnd w:id="34"/>
      <w:bookmarkEnd w:id="35"/>
      <w:bookmarkEnd w:id="36"/>
    </w:p>
    <w:p w:rsidR="000E4E2E" w:rsidRDefault="00046F11">
      <w:pPr>
        <w:spacing w:line="520" w:lineRule="exact"/>
        <w:ind w:firstLineChars="200" w:firstLine="560"/>
        <w:outlineLvl w:val="1"/>
        <w:rPr>
          <w:rFonts w:ascii="仿宋" w:eastAsia="仿宋" w:hAnsi="仿宋"/>
          <w:bCs/>
          <w:sz w:val="28"/>
          <w:szCs w:val="28"/>
          <w:highlight w:val="yellow"/>
        </w:rPr>
      </w:pPr>
      <w:bookmarkStart w:id="37" w:name="_Toc590"/>
      <w:bookmarkStart w:id="38" w:name="_Toc511502548"/>
      <w:bookmarkStart w:id="39" w:name="_Toc517708026"/>
      <w:r>
        <w:rPr>
          <w:rFonts w:ascii="仿宋" w:eastAsia="仿宋" w:hAnsi="仿宋" w:hint="eastAsia"/>
          <w:bCs/>
          <w:sz w:val="28"/>
          <w:szCs w:val="28"/>
        </w:rPr>
        <w:t>（一）主要经验及做法</w:t>
      </w:r>
      <w:bookmarkEnd w:id="37"/>
      <w:bookmarkEnd w:id="38"/>
      <w:bookmarkEnd w:id="39"/>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1、注重协调配合解决问题。</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运维工程涉及景观节点打造、亮化、喷泉、喷灌、卫生间、休憩亭、护栏等10个项目的改造维修，施工专业多、前期方案制定繁杂，在工程建设中，采购部与责任部门密切沟通配合，边施工边完善、落实施工方案，积极推动工程进度。</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w:t>
      </w:r>
      <w:bookmarkStart w:id="40" w:name="_Toc517708027"/>
      <w:r>
        <w:rPr>
          <w:rFonts w:ascii="仿宋" w:eastAsia="仿宋" w:hAnsi="仿宋" w:hint="eastAsia"/>
          <w:bCs/>
          <w:sz w:val="28"/>
          <w:szCs w:val="28"/>
        </w:rPr>
        <w:t>深入现场保障质量安全。</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在重要专项工程建设过程中，各部门克服人手不足的困难，合理计划工作任务和分工，与责任部门、施工、监理、设计单位密切配合，扎实落实施工方案，确保文明、质量、安全施工措施到位，不管是在江滩现场工地还是在雕塑制作等外部工地，都与责任部门深入施工现场督促，保障了施工质量及安全。施工中尽力减少施工对环境的影响，保证了施工较果。</w:t>
      </w:r>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（二）主要问题</w:t>
      </w:r>
      <w:bookmarkEnd w:id="40"/>
    </w:p>
    <w:p w:rsidR="000E4E2E" w:rsidRDefault="00046F11">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w:t>
      </w:r>
      <w:r w:rsidR="002B0914">
        <w:rPr>
          <w:rFonts w:ascii="仿宋" w:eastAsia="仿宋" w:hAnsi="仿宋" w:hint="eastAsia"/>
          <w:bCs/>
          <w:sz w:val="28"/>
          <w:szCs w:val="28"/>
        </w:rPr>
        <w:t>年</w:t>
      </w:r>
      <w:r>
        <w:rPr>
          <w:rFonts w:ascii="仿宋" w:eastAsia="仿宋" w:hAnsi="仿宋" w:hint="eastAsia"/>
          <w:bCs/>
          <w:sz w:val="28"/>
          <w:szCs w:val="28"/>
        </w:rPr>
        <w:t>提供的项目绩效目标申报表，虽然列示了项目支出的具体使用内容，但测算依据过程明确性不够。</w:t>
      </w:r>
    </w:p>
    <w:p w:rsidR="000E4E2E" w:rsidRDefault="00046F11">
      <w:pPr>
        <w:spacing w:line="520" w:lineRule="exact"/>
        <w:ind w:firstLineChars="200" w:firstLine="560"/>
        <w:outlineLvl w:val="0"/>
        <w:rPr>
          <w:rFonts w:ascii="黑体" w:eastAsia="黑体" w:hAnsi="黑体" w:cs="黑体"/>
          <w:sz w:val="28"/>
          <w:szCs w:val="28"/>
        </w:rPr>
      </w:pPr>
      <w:bookmarkStart w:id="41" w:name="_Toc511502550"/>
      <w:bookmarkStart w:id="42" w:name="_Toc517708028"/>
      <w:bookmarkStart w:id="43" w:name="_Toc31947"/>
      <w:r>
        <w:rPr>
          <w:rFonts w:ascii="黑体" w:eastAsia="黑体" w:hAnsi="黑体" w:cs="黑体" w:hint="eastAsia"/>
          <w:sz w:val="28"/>
          <w:szCs w:val="28"/>
        </w:rPr>
        <w:t>五、建议</w:t>
      </w:r>
      <w:bookmarkEnd w:id="41"/>
      <w:bookmarkEnd w:id="42"/>
    </w:p>
    <w:bookmarkEnd w:id="43"/>
    <w:p w:rsidR="000E4E2E" w:rsidRDefault="00046F11" w:rsidP="00D401D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增强单位财务及项目工作人员的预算编制参与度，明确项目建设内容，细化项目建设所需投入，客观合理编制项目绩效目标并予以测算过程。</w:t>
      </w:r>
      <w:bookmarkStart w:id="44" w:name="_GoBack"/>
      <w:bookmarkEnd w:id="44"/>
    </w:p>
    <w:p w:rsidR="00000669" w:rsidRDefault="00000669" w:rsidP="00000669">
      <w:pPr>
        <w:spacing w:line="520" w:lineRule="exact"/>
        <w:ind w:firstLineChars="200" w:firstLine="560"/>
        <w:outlineLvl w:val="0"/>
        <w:rPr>
          <w:rFonts w:ascii="黑体" w:eastAsia="黑体" w:hAnsi="黑体" w:cs="黑体"/>
          <w:sz w:val="28"/>
          <w:szCs w:val="28"/>
        </w:rPr>
      </w:pPr>
      <w:bookmarkStart w:id="45" w:name="_Toc511502553"/>
      <w:bookmarkStart w:id="46" w:name="_Toc517708029"/>
      <w:bookmarkStart w:id="47" w:name="_Toc22970"/>
      <w:r>
        <w:rPr>
          <w:rFonts w:ascii="黑体" w:eastAsia="黑体" w:hAnsi="黑体" w:cs="黑体" w:hint="eastAsia"/>
          <w:sz w:val="28"/>
          <w:szCs w:val="28"/>
        </w:rPr>
        <w:t>六、其他需说明的问题</w:t>
      </w:r>
      <w:bookmarkEnd w:id="45"/>
      <w:bookmarkEnd w:id="46"/>
      <w:bookmarkEnd w:id="47"/>
    </w:p>
    <w:p w:rsidR="00000669" w:rsidRDefault="00000669" w:rsidP="00000669">
      <w:pPr>
        <w:spacing w:line="520" w:lineRule="exact"/>
        <w:ind w:firstLineChars="200" w:firstLine="560"/>
        <w:rPr>
          <w:rFonts w:ascii="仿宋" w:eastAsia="仿宋" w:hAnsi="仿宋"/>
          <w:sz w:val="28"/>
          <w:szCs w:val="28"/>
        </w:rPr>
      </w:pPr>
      <w:r>
        <w:rPr>
          <w:rFonts w:ascii="仿宋" w:eastAsia="仿宋" w:hAnsi="仿宋" w:hint="eastAsia"/>
          <w:sz w:val="28"/>
          <w:szCs w:val="28"/>
        </w:rPr>
        <w:t>部分项目绩效很难在短期内体现出来，一是项目效益是长期的</w:t>
      </w:r>
      <w:r>
        <w:rPr>
          <w:rFonts w:ascii="仿宋" w:eastAsia="仿宋" w:hAnsi="仿宋" w:hint="eastAsia"/>
          <w:sz w:val="28"/>
          <w:szCs w:val="28"/>
        </w:rPr>
        <w:lastRenderedPageBreak/>
        <w:t>过程，并非所有的投入当年就能见效，很难在短期内见到的效果；二是项目的效益难以准确定量衡量。</w:t>
      </w:r>
    </w:p>
    <w:p w:rsidR="00000669" w:rsidRPr="00000669" w:rsidRDefault="00000669">
      <w:pPr>
        <w:spacing w:line="520" w:lineRule="exact"/>
        <w:ind w:firstLineChars="200" w:firstLine="560"/>
        <w:rPr>
          <w:rFonts w:ascii="仿宋" w:eastAsia="仿宋" w:hAnsi="仿宋" w:hint="eastAsia"/>
          <w:bCs/>
          <w:sz w:val="28"/>
          <w:szCs w:val="28"/>
        </w:rPr>
      </w:pPr>
    </w:p>
    <w:p w:rsidR="00BC6194" w:rsidRDefault="00BC6194" w:rsidP="00BC6194">
      <w:pPr>
        <w:ind w:firstLineChars="200" w:firstLine="560"/>
        <w:rPr>
          <w:rFonts w:ascii="仿宋" w:eastAsia="仿宋" w:hAnsi="仿宋"/>
          <w:sz w:val="28"/>
          <w:szCs w:val="28"/>
        </w:rPr>
      </w:pPr>
    </w:p>
    <w:p w:rsidR="000E4E2E" w:rsidRPr="00BC6194" w:rsidRDefault="00046F11" w:rsidP="00BC6194">
      <w:pPr>
        <w:ind w:firstLineChars="1900" w:firstLine="5320"/>
        <w:rPr>
          <w:rFonts w:ascii="仿宋" w:eastAsia="仿宋" w:hAnsi="仿宋"/>
          <w:sz w:val="28"/>
          <w:szCs w:val="28"/>
        </w:rPr>
      </w:pPr>
      <w:r>
        <w:rPr>
          <w:rFonts w:ascii="仿宋" w:eastAsia="仿宋" w:hAnsi="仿宋" w:hint="eastAsia"/>
          <w:sz w:val="28"/>
          <w:szCs w:val="28"/>
        </w:rPr>
        <w:t>二0</w:t>
      </w:r>
      <w:r w:rsidR="00712689">
        <w:rPr>
          <w:rFonts w:ascii="仿宋" w:eastAsia="仿宋" w:hAnsi="仿宋" w:hint="eastAsia"/>
          <w:sz w:val="28"/>
          <w:szCs w:val="28"/>
        </w:rPr>
        <w:t>一八年七月三十</w:t>
      </w:r>
      <w:r>
        <w:rPr>
          <w:rFonts w:ascii="仿宋" w:eastAsia="仿宋" w:hAnsi="仿宋" w:hint="eastAsia"/>
          <w:sz w:val="28"/>
          <w:szCs w:val="28"/>
        </w:rPr>
        <w:t>日</w:t>
      </w:r>
    </w:p>
    <w:p w:rsidR="000E4E2E" w:rsidRDefault="000E4E2E"/>
    <w:sectPr w:rsidR="000E4E2E" w:rsidSect="00DC34F9">
      <w:footerReference w:type="default" r:id="rId8"/>
      <w:pgSz w:w="11850" w:h="16783"/>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AB6" w:rsidRDefault="003A7AB6">
      <w:r>
        <w:separator/>
      </w:r>
    </w:p>
  </w:endnote>
  <w:endnote w:type="continuationSeparator" w:id="0">
    <w:p w:rsidR="003A7AB6" w:rsidRDefault="003A7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Semilight">
    <w:altName w:val="宋体"/>
    <w:charset w:val="86"/>
    <w:family w:val="swiss"/>
    <w:pitch w:val="default"/>
    <w:sig w:usb0="00000000" w:usb1="00000000" w:usb2="00000012" w:usb3="00000000" w:csb0="003E01BD" w:csb1="00000000"/>
  </w:font>
  <w:font w:name="方正仿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914" w:rsidRDefault="002B091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914" w:rsidRDefault="00DA5F94">
    <w:pPr>
      <w:pStyle w:val="a3"/>
      <w:jc w:val="center"/>
    </w:pPr>
    <w:r>
      <w:rPr>
        <w:noProof/>
        <w:lang w:val="zh-CN"/>
      </w:rPr>
      <w:fldChar w:fldCharType="begin"/>
    </w:r>
    <w:r>
      <w:rPr>
        <w:noProof/>
        <w:lang w:val="zh-CN"/>
      </w:rPr>
      <w:instrText>PAGE   \* MERGEFORMAT</w:instrText>
    </w:r>
    <w:r>
      <w:rPr>
        <w:noProof/>
        <w:lang w:val="zh-CN"/>
      </w:rPr>
      <w:fldChar w:fldCharType="separate"/>
    </w:r>
    <w:r w:rsidR="00D401DF">
      <w:rPr>
        <w:noProof/>
        <w:lang w:val="zh-CN"/>
      </w:rPr>
      <w:t>15</w:t>
    </w:r>
    <w:r>
      <w:rPr>
        <w:noProof/>
        <w:lang w:val="zh-CN"/>
      </w:rPr>
      <w:fldChar w:fldCharType="end"/>
    </w:r>
  </w:p>
  <w:p w:rsidR="002B0914" w:rsidRDefault="002B091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AB6" w:rsidRDefault="003A7AB6">
      <w:r>
        <w:separator/>
      </w:r>
    </w:p>
  </w:footnote>
  <w:footnote w:type="continuationSeparator" w:id="0">
    <w:p w:rsidR="003A7AB6" w:rsidRDefault="003A7A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F6A68"/>
    <w:rsid w:val="00000669"/>
    <w:rsid w:val="00030E5F"/>
    <w:rsid w:val="00046F11"/>
    <w:rsid w:val="0007238F"/>
    <w:rsid w:val="00086A58"/>
    <w:rsid w:val="000924B0"/>
    <w:rsid w:val="000A7CAC"/>
    <w:rsid w:val="000D5D0F"/>
    <w:rsid w:val="000D737C"/>
    <w:rsid w:val="000E016E"/>
    <w:rsid w:val="000E4E2E"/>
    <w:rsid w:val="000F1C74"/>
    <w:rsid w:val="000F54BB"/>
    <w:rsid w:val="00101AF6"/>
    <w:rsid w:val="00105A30"/>
    <w:rsid w:val="0011353B"/>
    <w:rsid w:val="00156362"/>
    <w:rsid w:val="001A1E56"/>
    <w:rsid w:val="001E4942"/>
    <w:rsid w:val="001E5898"/>
    <w:rsid w:val="001F6A68"/>
    <w:rsid w:val="00206ADA"/>
    <w:rsid w:val="00217637"/>
    <w:rsid w:val="0023495C"/>
    <w:rsid w:val="002469B1"/>
    <w:rsid w:val="002B0914"/>
    <w:rsid w:val="002B2CAC"/>
    <w:rsid w:val="002D0E32"/>
    <w:rsid w:val="00360C40"/>
    <w:rsid w:val="003A7AB6"/>
    <w:rsid w:val="003B2D38"/>
    <w:rsid w:val="003B46DF"/>
    <w:rsid w:val="00411F4F"/>
    <w:rsid w:val="00423797"/>
    <w:rsid w:val="00427412"/>
    <w:rsid w:val="00462CE4"/>
    <w:rsid w:val="00471DA6"/>
    <w:rsid w:val="00473879"/>
    <w:rsid w:val="00493544"/>
    <w:rsid w:val="004A03E4"/>
    <w:rsid w:val="004A2A1F"/>
    <w:rsid w:val="004C58FC"/>
    <w:rsid w:val="004E15BC"/>
    <w:rsid w:val="00521C34"/>
    <w:rsid w:val="0053051C"/>
    <w:rsid w:val="0053738A"/>
    <w:rsid w:val="005743BA"/>
    <w:rsid w:val="005814A7"/>
    <w:rsid w:val="005D4C6D"/>
    <w:rsid w:val="005F2B9A"/>
    <w:rsid w:val="00617F03"/>
    <w:rsid w:val="00627ECB"/>
    <w:rsid w:val="00630623"/>
    <w:rsid w:val="00640F88"/>
    <w:rsid w:val="0065104F"/>
    <w:rsid w:val="0066222E"/>
    <w:rsid w:val="00686FDC"/>
    <w:rsid w:val="006A2B94"/>
    <w:rsid w:val="006D0A9D"/>
    <w:rsid w:val="006F7839"/>
    <w:rsid w:val="0070215E"/>
    <w:rsid w:val="007077D5"/>
    <w:rsid w:val="00707F4F"/>
    <w:rsid w:val="00712689"/>
    <w:rsid w:val="007128C0"/>
    <w:rsid w:val="00717F18"/>
    <w:rsid w:val="00720F9B"/>
    <w:rsid w:val="00722FA7"/>
    <w:rsid w:val="00773A39"/>
    <w:rsid w:val="007D2490"/>
    <w:rsid w:val="00815C17"/>
    <w:rsid w:val="0083180C"/>
    <w:rsid w:val="00843685"/>
    <w:rsid w:val="00854BE2"/>
    <w:rsid w:val="008717E7"/>
    <w:rsid w:val="008908AA"/>
    <w:rsid w:val="008F2730"/>
    <w:rsid w:val="008F5D80"/>
    <w:rsid w:val="009020F4"/>
    <w:rsid w:val="009044BA"/>
    <w:rsid w:val="00915225"/>
    <w:rsid w:val="009467D3"/>
    <w:rsid w:val="00967767"/>
    <w:rsid w:val="00974745"/>
    <w:rsid w:val="00980FE5"/>
    <w:rsid w:val="009B45F7"/>
    <w:rsid w:val="009D2601"/>
    <w:rsid w:val="00A0421C"/>
    <w:rsid w:val="00A04DFD"/>
    <w:rsid w:val="00A26A19"/>
    <w:rsid w:val="00A30AF5"/>
    <w:rsid w:val="00A32F35"/>
    <w:rsid w:val="00A402C6"/>
    <w:rsid w:val="00A47D3D"/>
    <w:rsid w:val="00A57B1E"/>
    <w:rsid w:val="00A73617"/>
    <w:rsid w:val="00A76C71"/>
    <w:rsid w:val="00A94C56"/>
    <w:rsid w:val="00AB08A6"/>
    <w:rsid w:val="00AC0862"/>
    <w:rsid w:val="00AC6E00"/>
    <w:rsid w:val="00AD2DE4"/>
    <w:rsid w:val="00AE3756"/>
    <w:rsid w:val="00AE4815"/>
    <w:rsid w:val="00AF549B"/>
    <w:rsid w:val="00B0116C"/>
    <w:rsid w:val="00B050E9"/>
    <w:rsid w:val="00B278EA"/>
    <w:rsid w:val="00B453CB"/>
    <w:rsid w:val="00B503EE"/>
    <w:rsid w:val="00B55C63"/>
    <w:rsid w:val="00B55F41"/>
    <w:rsid w:val="00B75038"/>
    <w:rsid w:val="00B76C9D"/>
    <w:rsid w:val="00BC6194"/>
    <w:rsid w:val="00BC6704"/>
    <w:rsid w:val="00BF5174"/>
    <w:rsid w:val="00C401E5"/>
    <w:rsid w:val="00C47A54"/>
    <w:rsid w:val="00C65497"/>
    <w:rsid w:val="00C65CDC"/>
    <w:rsid w:val="00C83B2C"/>
    <w:rsid w:val="00CE4C59"/>
    <w:rsid w:val="00D01713"/>
    <w:rsid w:val="00D26A36"/>
    <w:rsid w:val="00D27179"/>
    <w:rsid w:val="00D401DF"/>
    <w:rsid w:val="00D55825"/>
    <w:rsid w:val="00D67A6F"/>
    <w:rsid w:val="00DA072E"/>
    <w:rsid w:val="00DA5F94"/>
    <w:rsid w:val="00DC34F9"/>
    <w:rsid w:val="00DC375D"/>
    <w:rsid w:val="00DD5538"/>
    <w:rsid w:val="00DE15AE"/>
    <w:rsid w:val="00E07A5E"/>
    <w:rsid w:val="00E45386"/>
    <w:rsid w:val="00E70CCF"/>
    <w:rsid w:val="00E80E18"/>
    <w:rsid w:val="00EB0657"/>
    <w:rsid w:val="00EB3BFD"/>
    <w:rsid w:val="00EC6281"/>
    <w:rsid w:val="00ED2C6A"/>
    <w:rsid w:val="00ED3866"/>
    <w:rsid w:val="00EF1C6B"/>
    <w:rsid w:val="00EF4AEF"/>
    <w:rsid w:val="00F0432E"/>
    <w:rsid w:val="00F243E2"/>
    <w:rsid w:val="00F2641C"/>
    <w:rsid w:val="00F45C76"/>
    <w:rsid w:val="00F528F2"/>
    <w:rsid w:val="00F61CAD"/>
    <w:rsid w:val="00F7331C"/>
    <w:rsid w:val="00F74552"/>
    <w:rsid w:val="00F77837"/>
    <w:rsid w:val="00F85758"/>
    <w:rsid w:val="00F8702F"/>
    <w:rsid w:val="00FA4407"/>
    <w:rsid w:val="00FE50AE"/>
    <w:rsid w:val="00FE57B2"/>
    <w:rsid w:val="011619D5"/>
    <w:rsid w:val="024977BB"/>
    <w:rsid w:val="04F362FC"/>
    <w:rsid w:val="05DF0C97"/>
    <w:rsid w:val="07427A65"/>
    <w:rsid w:val="08255181"/>
    <w:rsid w:val="08F54415"/>
    <w:rsid w:val="092513DB"/>
    <w:rsid w:val="094012E4"/>
    <w:rsid w:val="0BAC1EC3"/>
    <w:rsid w:val="0BF5512F"/>
    <w:rsid w:val="0C0617A3"/>
    <w:rsid w:val="0D08548C"/>
    <w:rsid w:val="112253B8"/>
    <w:rsid w:val="11502F87"/>
    <w:rsid w:val="11B0026D"/>
    <w:rsid w:val="12515C87"/>
    <w:rsid w:val="14592BF5"/>
    <w:rsid w:val="15850CA3"/>
    <w:rsid w:val="15F479EB"/>
    <w:rsid w:val="16291CDF"/>
    <w:rsid w:val="181E065C"/>
    <w:rsid w:val="1A365119"/>
    <w:rsid w:val="1A3F1B4F"/>
    <w:rsid w:val="1A3F2E17"/>
    <w:rsid w:val="1B037C30"/>
    <w:rsid w:val="1B4A4ED5"/>
    <w:rsid w:val="1C906F25"/>
    <w:rsid w:val="1CD416F7"/>
    <w:rsid w:val="1E660C08"/>
    <w:rsid w:val="203E6FA4"/>
    <w:rsid w:val="2106178E"/>
    <w:rsid w:val="21BF7F6B"/>
    <w:rsid w:val="22B465EB"/>
    <w:rsid w:val="232A40C1"/>
    <w:rsid w:val="26403A28"/>
    <w:rsid w:val="27387775"/>
    <w:rsid w:val="28317ACF"/>
    <w:rsid w:val="291F14E2"/>
    <w:rsid w:val="2B2A72A3"/>
    <w:rsid w:val="2DA13818"/>
    <w:rsid w:val="2EF714FF"/>
    <w:rsid w:val="2F5739E0"/>
    <w:rsid w:val="31BB42DC"/>
    <w:rsid w:val="346053E0"/>
    <w:rsid w:val="34910A7F"/>
    <w:rsid w:val="378E71C4"/>
    <w:rsid w:val="37A82FD8"/>
    <w:rsid w:val="37DB4908"/>
    <w:rsid w:val="38AA2178"/>
    <w:rsid w:val="3A1346F4"/>
    <w:rsid w:val="3A3B3B69"/>
    <w:rsid w:val="3B6B0524"/>
    <w:rsid w:val="3EC12C56"/>
    <w:rsid w:val="41A77903"/>
    <w:rsid w:val="45912B36"/>
    <w:rsid w:val="469E7D8F"/>
    <w:rsid w:val="47C63392"/>
    <w:rsid w:val="48CA4E98"/>
    <w:rsid w:val="491362C8"/>
    <w:rsid w:val="49437007"/>
    <w:rsid w:val="49EE6A34"/>
    <w:rsid w:val="4B772C52"/>
    <w:rsid w:val="4C6B7847"/>
    <w:rsid w:val="4E054A3A"/>
    <w:rsid w:val="4E163FD2"/>
    <w:rsid w:val="4F9E5A56"/>
    <w:rsid w:val="50454210"/>
    <w:rsid w:val="5061685E"/>
    <w:rsid w:val="53D14E65"/>
    <w:rsid w:val="57BF4437"/>
    <w:rsid w:val="5AA44C18"/>
    <w:rsid w:val="5B1F46C4"/>
    <w:rsid w:val="5C0963D2"/>
    <w:rsid w:val="5C91170E"/>
    <w:rsid w:val="5DCB7161"/>
    <w:rsid w:val="5F235AEB"/>
    <w:rsid w:val="5F2B4604"/>
    <w:rsid w:val="5FAD482D"/>
    <w:rsid w:val="60C056D5"/>
    <w:rsid w:val="61FC2E74"/>
    <w:rsid w:val="636742BA"/>
    <w:rsid w:val="63D12B27"/>
    <w:rsid w:val="64BB71DA"/>
    <w:rsid w:val="64FA052D"/>
    <w:rsid w:val="65566F04"/>
    <w:rsid w:val="6589703A"/>
    <w:rsid w:val="663D37A6"/>
    <w:rsid w:val="66B0656B"/>
    <w:rsid w:val="675B5AB9"/>
    <w:rsid w:val="6B146E2D"/>
    <w:rsid w:val="6C2E5A3D"/>
    <w:rsid w:val="6F732F20"/>
    <w:rsid w:val="6F9047AB"/>
    <w:rsid w:val="70D87661"/>
    <w:rsid w:val="722D7391"/>
    <w:rsid w:val="72DE7EE6"/>
    <w:rsid w:val="732E1A61"/>
    <w:rsid w:val="73986528"/>
    <w:rsid w:val="75647FCD"/>
    <w:rsid w:val="75AC5602"/>
    <w:rsid w:val="75CE698D"/>
    <w:rsid w:val="766846A9"/>
    <w:rsid w:val="77445955"/>
    <w:rsid w:val="77D12C2E"/>
    <w:rsid w:val="77DB16D4"/>
    <w:rsid w:val="786E5426"/>
    <w:rsid w:val="79C62A8B"/>
    <w:rsid w:val="7B470FC6"/>
    <w:rsid w:val="7B533FAA"/>
    <w:rsid w:val="7B5C3842"/>
    <w:rsid w:val="7BD73647"/>
    <w:rsid w:val="7BEA0549"/>
    <w:rsid w:val="7CEB754A"/>
    <w:rsid w:val="7E9D4A56"/>
    <w:rsid w:val="7F1C7F7D"/>
    <w:rsid w:val="7F79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B947E9C"/>
  <w15:docId w15:val="{1C156E5C-B5E1-470D-88B0-092606FD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4F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qFormat/>
    <w:rsid w:val="00DC34F9"/>
    <w:pPr>
      <w:ind w:leftChars="400" w:left="840"/>
    </w:pPr>
  </w:style>
  <w:style w:type="paragraph" w:styleId="a3">
    <w:name w:val="footer"/>
    <w:basedOn w:val="a"/>
    <w:qFormat/>
    <w:rsid w:val="00DC34F9"/>
    <w:pPr>
      <w:tabs>
        <w:tab w:val="center" w:pos="4153"/>
        <w:tab w:val="right" w:pos="8306"/>
      </w:tabs>
      <w:snapToGrid w:val="0"/>
      <w:jc w:val="left"/>
    </w:pPr>
    <w:rPr>
      <w:sz w:val="18"/>
      <w:szCs w:val="18"/>
    </w:rPr>
  </w:style>
  <w:style w:type="paragraph" w:styleId="a4">
    <w:name w:val="header"/>
    <w:basedOn w:val="a"/>
    <w:rsid w:val="00DC34F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rsid w:val="00DC34F9"/>
  </w:style>
  <w:style w:type="paragraph" w:styleId="2">
    <w:name w:val="toc 2"/>
    <w:basedOn w:val="a"/>
    <w:next w:val="a"/>
    <w:uiPriority w:val="39"/>
    <w:rsid w:val="00DC34F9"/>
    <w:pPr>
      <w:ind w:leftChars="200" w:left="420"/>
    </w:pPr>
  </w:style>
  <w:style w:type="character" w:styleId="a5">
    <w:name w:val="Hyperlink"/>
    <w:basedOn w:val="a0"/>
    <w:uiPriority w:val="99"/>
    <w:unhideWhenUsed/>
    <w:rsid w:val="00DC34F9"/>
    <w:rPr>
      <w:color w:val="0563C1" w:themeColor="hyperlink"/>
      <w:u w:val="single"/>
    </w:rPr>
  </w:style>
  <w:style w:type="paragraph" w:customStyle="1" w:styleId="lxl">
    <w:name w:val="lxl"/>
    <w:basedOn w:val="a"/>
    <w:qFormat/>
    <w:rsid w:val="00DC34F9"/>
    <w:pPr>
      <w:widowControl/>
      <w:spacing w:line="560" w:lineRule="exact"/>
    </w:pPr>
    <w:rPr>
      <w:rFonts w:ascii="Malgun Gothic Semilight" w:eastAsia="方正仿宋_GBK" w:hAnsi="Malgun Gothic Semilight"/>
      <w:sz w:val="30"/>
      <w:szCs w:val="30"/>
    </w:rPr>
  </w:style>
  <w:style w:type="paragraph" w:styleId="a6">
    <w:name w:val="List Paragraph"/>
    <w:basedOn w:val="a"/>
    <w:uiPriority w:val="99"/>
    <w:unhideWhenUsed/>
    <w:rsid w:val="00DC34F9"/>
    <w:pPr>
      <w:ind w:firstLineChars="200" w:firstLine="420"/>
    </w:pPr>
  </w:style>
  <w:style w:type="paragraph" w:styleId="a7">
    <w:name w:val="No Spacing"/>
    <w:uiPriority w:val="1"/>
    <w:qFormat/>
    <w:rsid w:val="00DC34F9"/>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15</Pages>
  <Words>1191</Words>
  <Characters>6793</Characters>
  <Application>Microsoft Office Word</Application>
  <DocSecurity>0</DocSecurity>
  <Lines>56</Lines>
  <Paragraphs>15</Paragraphs>
  <ScaleCrop>false</ScaleCrop>
  <Company>Microsoft</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01</cp:lastModifiedBy>
  <cp:revision>111</cp:revision>
  <cp:lastPrinted>2018-07-17T06:55:00Z</cp:lastPrinted>
  <dcterms:created xsi:type="dcterms:W3CDTF">2014-10-29T12:08:00Z</dcterms:created>
  <dcterms:modified xsi:type="dcterms:W3CDTF">2018-09-29T03:29:00Z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