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0427" w:hRule="atLeast"/>
        </w:trPr>
        <w:tc>
          <w:tcPr>
            <w:tcW w:w="8522" w:type="dxa"/>
          </w:tcPr>
          <w:p>
            <w:pPr>
              <w:jc w:val="center"/>
              <w:rPr>
                <w:rFonts w:hint="eastAsia" w:ascii="仿宋_GB2312" w:eastAsia="仿宋_GB2312"/>
                <w:b/>
                <w:sz w:val="32"/>
                <w:szCs w:val="32"/>
              </w:rPr>
            </w:pPr>
          </w:p>
          <w:p>
            <w:pPr>
              <w:jc w:val="center"/>
              <w:rPr>
                <w:rFonts w:ascii="仿宋_GB2312" w:eastAsia="仿宋_GB2312"/>
                <w:b/>
                <w:sz w:val="32"/>
                <w:szCs w:val="32"/>
              </w:rPr>
            </w:pPr>
          </w:p>
          <w:p>
            <w:pPr>
              <w:jc w:val="center"/>
              <w:rPr>
                <w:rFonts w:ascii="黑体" w:hAnsi="黑体" w:eastAsia="黑体"/>
                <w:b/>
                <w:sz w:val="36"/>
                <w:szCs w:val="36"/>
              </w:rPr>
            </w:pPr>
            <w:r>
              <w:rPr>
                <w:rFonts w:hint="eastAsia" w:ascii="黑体" w:hAnsi="黑体" w:eastAsia="黑体"/>
                <w:b/>
                <w:sz w:val="36"/>
                <w:szCs w:val="36"/>
              </w:rPr>
              <w:t>武汉市市直预算项目</w:t>
            </w:r>
          </w:p>
          <w:p>
            <w:pPr>
              <w:jc w:val="center"/>
              <w:rPr>
                <w:rFonts w:ascii="黑体" w:hAnsi="黑体" w:eastAsia="黑体"/>
                <w:b/>
                <w:sz w:val="32"/>
                <w:szCs w:val="32"/>
              </w:rPr>
            </w:pPr>
            <w:r>
              <w:rPr>
                <w:rFonts w:hint="eastAsia" w:ascii="黑体" w:hAnsi="黑体" w:eastAsia="黑体"/>
                <w:b/>
                <w:sz w:val="36"/>
                <w:szCs w:val="36"/>
              </w:rPr>
              <w:t>绩效自评报告</w:t>
            </w:r>
          </w:p>
          <w:p>
            <w:pPr>
              <w:jc w:val="center"/>
              <w:rPr>
                <w:rFonts w:ascii="黑体" w:hAnsi="黑体" w:eastAsia="黑体"/>
                <w:b/>
                <w:bCs/>
                <w:sz w:val="32"/>
                <w:szCs w:val="32"/>
              </w:rPr>
            </w:pPr>
          </w:p>
          <w:p>
            <w:pPr>
              <w:rPr>
                <w:rFonts w:ascii="黑体" w:hAnsi="黑体" w:eastAsia="黑体"/>
                <w:b/>
                <w:sz w:val="32"/>
                <w:szCs w:val="32"/>
              </w:rPr>
            </w:pPr>
          </w:p>
          <w:p>
            <w:pPr>
              <w:rPr>
                <w:rFonts w:ascii="黑体" w:hAnsi="黑体" w:eastAsia="黑体"/>
                <w:b/>
                <w:sz w:val="32"/>
                <w:szCs w:val="32"/>
              </w:rPr>
            </w:pPr>
          </w:p>
          <w:p>
            <w:pPr>
              <w:rPr>
                <w:rFonts w:ascii="黑体" w:hAnsi="黑体" w:eastAsia="黑体"/>
                <w:b/>
                <w:sz w:val="32"/>
                <w:szCs w:val="32"/>
              </w:rPr>
            </w:pPr>
          </w:p>
          <w:p>
            <w:pPr>
              <w:rPr>
                <w:rFonts w:ascii="黑体" w:hAnsi="黑体" w:eastAsia="黑体"/>
                <w:b/>
                <w:sz w:val="32"/>
                <w:szCs w:val="32"/>
              </w:rPr>
            </w:pPr>
          </w:p>
          <w:p>
            <w:pPr>
              <w:rPr>
                <w:rFonts w:ascii="黑体" w:hAnsi="黑体" w:eastAsia="黑体"/>
                <w:b/>
                <w:sz w:val="32"/>
                <w:szCs w:val="32"/>
              </w:rPr>
            </w:pPr>
          </w:p>
          <w:p>
            <w:pPr>
              <w:rPr>
                <w:rFonts w:ascii="黑体" w:hAnsi="黑体" w:eastAsia="黑体"/>
                <w:b/>
                <w:sz w:val="32"/>
                <w:szCs w:val="32"/>
              </w:rPr>
            </w:pPr>
          </w:p>
          <w:p>
            <w:pPr>
              <w:rPr>
                <w:rFonts w:ascii="黑体" w:hAnsi="黑体" w:eastAsia="黑体"/>
                <w:b/>
                <w:sz w:val="32"/>
                <w:szCs w:val="32"/>
              </w:rPr>
            </w:pPr>
          </w:p>
          <w:p>
            <w:pPr>
              <w:rPr>
                <w:rFonts w:ascii="黑体" w:hAnsi="黑体" w:eastAsia="黑体"/>
                <w:b/>
                <w:sz w:val="32"/>
                <w:szCs w:val="32"/>
              </w:rPr>
            </w:pPr>
          </w:p>
          <w:p>
            <w:pPr>
              <w:rPr>
                <w:rFonts w:ascii="黑体" w:hAnsi="黑体" w:eastAsia="黑体"/>
                <w:b/>
                <w:sz w:val="32"/>
                <w:szCs w:val="32"/>
              </w:rPr>
            </w:pPr>
          </w:p>
          <w:p>
            <w:pPr>
              <w:rPr>
                <w:rFonts w:ascii="黑体" w:hAnsi="黑体" w:eastAsia="黑体"/>
                <w:b/>
                <w:sz w:val="32"/>
                <w:szCs w:val="32"/>
              </w:rPr>
            </w:pPr>
            <w:r>
              <w:rPr>
                <w:rFonts w:hint="eastAsia" w:ascii="黑体" w:hAnsi="黑体" w:eastAsia="黑体"/>
                <w:b/>
                <w:sz w:val="32"/>
                <w:szCs w:val="32"/>
              </w:rPr>
              <w:t xml:space="preserve">          </w:t>
            </w:r>
            <w:r>
              <w:rPr>
                <w:rFonts w:hint="eastAsia" w:ascii="黑体" w:hAnsi="黑体" w:eastAsia="黑体"/>
                <w:bCs/>
                <w:sz w:val="32"/>
                <w:szCs w:val="32"/>
              </w:rPr>
              <w:t>项目名称：</w:t>
            </w:r>
            <w:r>
              <w:rPr>
                <w:rFonts w:hint="eastAsia" w:ascii="黑体" w:hAnsi="黑体" w:eastAsia="黑体"/>
                <w:bCs/>
                <w:sz w:val="32"/>
                <w:szCs w:val="32"/>
                <w:lang w:eastAsia="zh-CN"/>
              </w:rPr>
              <w:t>堤防建设和管理项目</w:t>
            </w:r>
          </w:p>
          <w:p>
            <w:pPr>
              <w:tabs>
                <w:tab w:val="center" w:pos="4153"/>
              </w:tabs>
              <w:ind w:left="3196" w:leftChars="760" w:hanging="1600" w:hangingChars="500"/>
              <w:rPr>
                <w:rFonts w:ascii="黑体" w:hAnsi="黑体" w:eastAsia="黑体"/>
                <w:bCs/>
                <w:sz w:val="32"/>
                <w:szCs w:val="32"/>
              </w:rPr>
            </w:pPr>
            <w:r>
              <w:rPr>
                <w:rFonts w:hint="eastAsia" w:ascii="黑体" w:hAnsi="黑体" w:eastAsia="黑体"/>
                <w:bCs/>
                <w:sz w:val="32"/>
                <w:szCs w:val="32"/>
              </w:rPr>
              <w:t>项目单位：武汉市</w:t>
            </w:r>
            <w:r>
              <w:rPr>
                <w:rFonts w:hint="eastAsia" w:ascii="黑体" w:hAnsi="黑体" w:eastAsia="黑体"/>
                <w:bCs/>
                <w:sz w:val="32"/>
                <w:szCs w:val="32"/>
                <w:lang w:eastAsia="zh-CN"/>
              </w:rPr>
              <w:t>水务堤防工程建设管理中心</w:t>
            </w:r>
          </w:p>
          <w:p>
            <w:pPr>
              <w:ind w:firstLine="1600" w:firstLineChars="500"/>
              <w:rPr>
                <w:rFonts w:ascii="黑体" w:hAnsi="黑体" w:eastAsia="黑体"/>
                <w:bCs/>
                <w:sz w:val="32"/>
                <w:szCs w:val="32"/>
              </w:rPr>
            </w:pPr>
            <w:r>
              <w:rPr>
                <w:rFonts w:hint="eastAsia" w:ascii="黑体" w:hAnsi="黑体" w:eastAsia="黑体"/>
                <w:bCs/>
                <w:sz w:val="32"/>
                <w:szCs w:val="32"/>
              </w:rPr>
              <w:t>主管部门：武汉市水务局</w:t>
            </w:r>
          </w:p>
          <w:p>
            <w:pPr>
              <w:ind w:firstLine="1600" w:firstLineChars="500"/>
              <w:rPr>
                <w:rFonts w:ascii="黑体" w:hAnsi="黑体" w:eastAsia="黑体"/>
                <w:bCs/>
                <w:sz w:val="32"/>
                <w:szCs w:val="32"/>
              </w:rPr>
            </w:pPr>
            <w:r>
              <w:rPr>
                <w:rFonts w:hint="eastAsia" w:ascii="黑体" w:hAnsi="黑体" w:eastAsia="黑体"/>
                <w:bCs/>
                <w:sz w:val="32"/>
                <w:szCs w:val="32"/>
              </w:rPr>
              <w:t>报告时间：二○一八年七月</w:t>
            </w:r>
          </w:p>
          <w:p>
            <w:pPr>
              <w:jc w:val="both"/>
              <w:rPr>
                <w:rFonts w:ascii="黑体" w:hAnsi="黑体" w:eastAsia="黑体"/>
                <w:bCs/>
                <w:sz w:val="32"/>
                <w:szCs w:val="32"/>
              </w:rPr>
            </w:pPr>
          </w:p>
          <w:p>
            <w:pPr>
              <w:jc w:val="center"/>
              <w:rPr>
                <w:rFonts w:ascii="仿宋_GB2312" w:eastAsia="仿宋_GB2312"/>
                <w:b/>
                <w:sz w:val="32"/>
                <w:szCs w:val="32"/>
              </w:rPr>
            </w:pPr>
          </w:p>
          <w:p>
            <w:pPr>
              <w:jc w:val="center"/>
              <w:rPr>
                <w:rFonts w:ascii="仿宋_GB2312" w:eastAsia="仿宋_GB2312"/>
                <w:b/>
                <w:sz w:val="32"/>
                <w:szCs w:val="32"/>
              </w:rPr>
            </w:pPr>
          </w:p>
        </w:tc>
      </w:tr>
    </w:tbl>
    <w:p/>
    <w:p>
      <w:pPr>
        <w:spacing w:line="360" w:lineRule="auto"/>
        <w:jc w:val="both"/>
        <w:outlineLvl w:val="0"/>
        <w:rPr>
          <w:rFonts w:hint="eastAsia" w:ascii="黑体" w:hAnsi="黑体" w:eastAsia="黑体" w:cs="黑体"/>
          <w:bCs/>
          <w:sz w:val="28"/>
          <w:szCs w:val="28"/>
          <w:lang w:eastAsia="zh-CN"/>
        </w:rPr>
      </w:pPr>
      <w:bookmarkStart w:id="0" w:name="_Toc511502513"/>
      <w:bookmarkStart w:id="1" w:name="_Toc511502514"/>
    </w:p>
    <w:p>
      <w:pPr>
        <w:spacing w:line="520" w:lineRule="exact"/>
        <w:jc w:val="center"/>
        <w:outlineLvl w:val="0"/>
        <w:rPr>
          <w:rFonts w:ascii="黑体" w:hAnsi="黑体" w:eastAsia="黑体" w:cs="黑体"/>
          <w:bCs/>
          <w:sz w:val="28"/>
          <w:szCs w:val="28"/>
        </w:rPr>
        <w:sectPr>
          <w:footerReference r:id="rId3" w:type="default"/>
          <w:pgSz w:w="11906" w:h="16838"/>
          <w:pgMar w:top="1440" w:right="1800" w:bottom="1440" w:left="1800" w:header="851" w:footer="992" w:gutter="0"/>
          <w:pgNumType w:start="1"/>
          <w:cols w:space="720" w:num="1"/>
          <w:docGrid w:type="lines" w:linePitch="312" w:charSpace="0"/>
        </w:sectPr>
      </w:pPr>
    </w:p>
    <w:bookmarkEnd w:id="0"/>
    <w:p>
      <w:pPr>
        <w:spacing w:line="520" w:lineRule="exact"/>
        <w:outlineLvl w:val="0"/>
        <w:rPr>
          <w:rFonts w:hint="eastAsia" w:ascii="黑体" w:hAnsi="黑体" w:eastAsia="黑体" w:cs="黑体"/>
          <w:bCs/>
          <w:sz w:val="28"/>
          <w:szCs w:val="28"/>
          <w:lang w:eastAsia="zh-CN"/>
        </w:rPr>
      </w:pPr>
      <w:r>
        <w:rPr>
          <w:rFonts w:hint="eastAsia" w:ascii="黑体" w:hAnsi="黑体" w:eastAsia="黑体" w:cs="黑体"/>
          <w:b/>
          <w:sz w:val="36"/>
          <w:szCs w:val="36"/>
          <w:lang w:val="en-US" w:eastAsia="zh-CN"/>
        </w:rPr>
        <w:t xml:space="preserve"> </w:t>
      </w:r>
      <w:bookmarkStart w:id="50" w:name="_GoBack"/>
      <w:bookmarkEnd w:id="50"/>
    </w:p>
    <w:p>
      <w:pPr>
        <w:spacing w:line="520" w:lineRule="exact"/>
        <w:ind w:firstLine="560" w:firstLineChars="200"/>
        <w:outlineLvl w:val="0"/>
        <w:rPr>
          <w:rFonts w:ascii="黑体" w:hAnsi="黑体" w:eastAsia="黑体" w:cs="黑体"/>
          <w:bCs/>
          <w:sz w:val="28"/>
          <w:szCs w:val="28"/>
        </w:rPr>
      </w:pPr>
      <w:bookmarkStart w:id="2" w:name="_Toc517708009"/>
      <w:r>
        <w:rPr>
          <w:rFonts w:hint="eastAsia" w:ascii="黑体" w:hAnsi="黑体" w:eastAsia="黑体" w:cs="黑体"/>
          <w:bCs/>
          <w:sz w:val="28"/>
          <w:szCs w:val="28"/>
        </w:rPr>
        <w:t>一、项目基本情况</w:t>
      </w:r>
      <w:bookmarkEnd w:id="1"/>
      <w:bookmarkEnd w:id="2"/>
    </w:p>
    <w:p>
      <w:pPr>
        <w:spacing w:line="520" w:lineRule="exact"/>
        <w:ind w:firstLine="560" w:firstLineChars="200"/>
        <w:outlineLvl w:val="1"/>
        <w:rPr>
          <w:rFonts w:ascii="仿宋" w:hAnsi="仿宋" w:eastAsia="仿宋"/>
          <w:bCs/>
          <w:sz w:val="28"/>
          <w:szCs w:val="28"/>
        </w:rPr>
      </w:pPr>
      <w:bookmarkStart w:id="3" w:name="_Toc511502515"/>
      <w:bookmarkStart w:id="4" w:name="_Toc517708010"/>
      <w:r>
        <w:rPr>
          <w:rFonts w:hint="eastAsia" w:ascii="仿宋" w:hAnsi="仿宋" w:eastAsia="仿宋"/>
          <w:bCs/>
          <w:sz w:val="28"/>
          <w:szCs w:val="28"/>
        </w:rPr>
        <w:t>（一）</w:t>
      </w:r>
      <w:bookmarkEnd w:id="3"/>
      <w:r>
        <w:rPr>
          <w:rFonts w:hint="eastAsia" w:ascii="仿宋" w:hAnsi="仿宋" w:eastAsia="仿宋"/>
          <w:bCs/>
          <w:sz w:val="28"/>
          <w:szCs w:val="28"/>
        </w:rPr>
        <w:t>项目概况</w:t>
      </w:r>
      <w:bookmarkEnd w:id="4"/>
    </w:p>
    <w:p>
      <w:pPr>
        <w:spacing w:line="520" w:lineRule="exact"/>
        <w:ind w:firstLine="560" w:firstLineChars="200"/>
        <w:rPr>
          <w:rFonts w:hint="eastAsia" w:ascii="仿宋" w:hAnsi="仿宋" w:eastAsia="仿宋"/>
          <w:bCs/>
          <w:sz w:val="28"/>
          <w:szCs w:val="28"/>
          <w:lang w:eastAsia="zh-CN"/>
        </w:rPr>
      </w:pPr>
      <w:r>
        <w:rPr>
          <w:rFonts w:hint="eastAsia" w:ascii="仿宋" w:hAnsi="仿宋" w:eastAsia="仿宋"/>
          <w:bCs/>
          <w:sz w:val="28"/>
          <w:szCs w:val="28"/>
          <w:lang w:eastAsia="zh-CN"/>
        </w:rPr>
        <w:t>武汉市水务堤防工程建设管理中心主要负责承担两江四岸防洪及环境综合整理工程、河道堤防建设资金筹措借贷；负责防汛、排渍、抗旱及水务应急处置的物资供应及防汛物资储备管理和筹集调度协调工作；受武汉市水务局委托，履行全市堤防工程建设、重点水利工程和分蓄洪区建设项目法人职责；组织实施相关水务工程建设管理工作；承办水力堤防用地等资产管理确权划界工作；完成武汉市水务局交办的其他工作。为进一步增加堤防防洪能力，美化城市沿江景观，彰显城市滨江滨水生态特色，推动我市长江主轴战略实施和区域经济发展，提升市民生活品质和幸福指数。</w:t>
      </w:r>
    </w:p>
    <w:p>
      <w:pPr>
        <w:spacing w:line="520" w:lineRule="exact"/>
        <w:ind w:firstLine="560" w:firstLineChars="200"/>
        <w:outlineLvl w:val="1"/>
        <w:rPr>
          <w:rFonts w:ascii="仿宋" w:hAnsi="仿宋" w:eastAsia="仿宋"/>
          <w:bCs/>
          <w:sz w:val="28"/>
          <w:szCs w:val="28"/>
        </w:rPr>
      </w:pPr>
      <w:bookmarkStart w:id="5" w:name="_Toc517708011"/>
      <w:bookmarkStart w:id="6" w:name="_Toc511502516"/>
      <w:r>
        <w:rPr>
          <w:rFonts w:hint="eastAsia" w:ascii="仿宋" w:hAnsi="仿宋" w:eastAsia="仿宋"/>
          <w:bCs/>
          <w:sz w:val="28"/>
          <w:szCs w:val="28"/>
        </w:rPr>
        <w:t>（二）项目预算绩效目标</w:t>
      </w:r>
      <w:bookmarkEnd w:id="5"/>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项目绩效目标是最大限度确保</w:t>
      </w:r>
      <w:r>
        <w:rPr>
          <w:rFonts w:hint="eastAsia" w:ascii="仿宋" w:hAnsi="仿宋" w:eastAsia="仿宋"/>
          <w:bCs/>
          <w:sz w:val="28"/>
          <w:szCs w:val="28"/>
          <w:lang w:eastAsia="zh-CN"/>
        </w:rPr>
        <w:t>防洪及环境整理工程、防汛物资管理和筹集工作顺利开展，保障沿江地区经济社会可持续发展，</w:t>
      </w:r>
      <w:r>
        <w:rPr>
          <w:rFonts w:hint="eastAsia" w:ascii="仿宋" w:hAnsi="仿宋" w:eastAsia="仿宋"/>
          <w:bCs/>
          <w:sz w:val="28"/>
          <w:szCs w:val="28"/>
        </w:rPr>
        <w:t>具体绩效指标设置情况如下：</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lang w:eastAsia="zh-CN"/>
        </w:rPr>
        <w:t>三峡后续工作长江中下游影响处理湖北武汉段一期河道整治工程</w:t>
      </w:r>
      <w:r>
        <w:rPr>
          <w:rFonts w:hint="eastAsia" w:ascii="仿宋" w:hAnsi="仿宋" w:eastAsia="仿宋"/>
          <w:bCs/>
          <w:sz w:val="28"/>
          <w:szCs w:val="28"/>
        </w:rPr>
        <w:t>项目绩效指标设置情况如下：</w:t>
      </w:r>
    </w:p>
    <w:tbl>
      <w:tblPr>
        <w:tblStyle w:val="9"/>
        <w:tblW w:w="8379" w:type="dxa"/>
        <w:tblInd w:w="93" w:type="dxa"/>
        <w:tblLayout w:type="fixed"/>
        <w:tblCellMar>
          <w:top w:w="0" w:type="dxa"/>
          <w:left w:w="108" w:type="dxa"/>
          <w:bottom w:w="0" w:type="dxa"/>
          <w:right w:w="108" w:type="dxa"/>
        </w:tblCellMar>
      </w:tblPr>
      <w:tblGrid>
        <w:gridCol w:w="1291"/>
        <w:gridCol w:w="2169"/>
        <w:gridCol w:w="3543"/>
        <w:gridCol w:w="1376"/>
      </w:tblGrid>
      <w:tr>
        <w:tblPrEx>
          <w:tblLayout w:type="fixed"/>
          <w:tblCellMar>
            <w:top w:w="0" w:type="dxa"/>
            <w:left w:w="108" w:type="dxa"/>
            <w:bottom w:w="0" w:type="dxa"/>
            <w:right w:w="108" w:type="dxa"/>
          </w:tblCellMar>
        </w:tblPrEx>
        <w:trPr>
          <w:trHeight w:val="480" w:hRule="atLeast"/>
          <w:tblHeader/>
        </w:trPr>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一级指标</w:t>
            </w:r>
          </w:p>
        </w:tc>
        <w:tc>
          <w:tcPr>
            <w:tcW w:w="216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二级指标</w:t>
            </w:r>
          </w:p>
        </w:tc>
        <w:tc>
          <w:tcPr>
            <w:tcW w:w="354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指标内容</w:t>
            </w:r>
          </w:p>
        </w:tc>
        <w:tc>
          <w:tcPr>
            <w:tcW w:w="13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指标值</w:t>
            </w:r>
          </w:p>
        </w:tc>
      </w:tr>
      <w:tr>
        <w:tblPrEx>
          <w:tblLayout w:type="fixed"/>
          <w:tblCellMar>
            <w:top w:w="0" w:type="dxa"/>
            <w:left w:w="108" w:type="dxa"/>
            <w:bottom w:w="0" w:type="dxa"/>
            <w:right w:w="108" w:type="dxa"/>
          </w:tblCellMar>
        </w:tblPrEx>
        <w:trPr>
          <w:trHeight w:val="470" w:hRule="atLeast"/>
        </w:trPr>
        <w:tc>
          <w:tcPr>
            <w:tcW w:w="1291" w:type="dxa"/>
            <w:vMerge w:val="restart"/>
            <w:tcBorders>
              <w:top w:val="nil"/>
              <w:left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产出指标</w:t>
            </w:r>
          </w:p>
        </w:tc>
        <w:tc>
          <w:tcPr>
            <w:tcW w:w="216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数量指标</w:t>
            </w:r>
          </w:p>
        </w:tc>
        <w:tc>
          <w:tcPr>
            <w:tcW w:w="3543"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4"/>
              </w:rPr>
            </w:pPr>
          </w:p>
        </w:tc>
        <w:tc>
          <w:tcPr>
            <w:tcW w:w="13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p>
        </w:tc>
      </w:tr>
      <w:tr>
        <w:tblPrEx>
          <w:tblLayout w:type="fixed"/>
          <w:tblCellMar>
            <w:top w:w="0" w:type="dxa"/>
            <w:left w:w="108" w:type="dxa"/>
            <w:bottom w:w="0" w:type="dxa"/>
            <w:right w:w="108" w:type="dxa"/>
          </w:tblCellMar>
        </w:tblPrEx>
        <w:trPr>
          <w:trHeight w:val="480" w:hRule="atLeast"/>
        </w:trPr>
        <w:tc>
          <w:tcPr>
            <w:tcW w:w="1291" w:type="dxa"/>
            <w:vMerge w:val="continue"/>
            <w:tcBorders>
              <w:left w:val="single" w:color="auto" w:sz="4" w:space="0"/>
              <w:right w:val="single" w:color="auto" w:sz="4" w:space="0"/>
            </w:tcBorders>
            <w:vAlign w:val="center"/>
          </w:tcPr>
          <w:p>
            <w:pPr>
              <w:widowControl/>
              <w:jc w:val="left"/>
              <w:rPr>
                <w:rFonts w:ascii="仿宋" w:hAnsi="仿宋" w:eastAsia="仿宋" w:cs="宋体"/>
                <w:kern w:val="0"/>
                <w:sz w:val="24"/>
              </w:rPr>
            </w:pPr>
          </w:p>
        </w:tc>
        <w:tc>
          <w:tcPr>
            <w:tcW w:w="216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质量指标</w:t>
            </w:r>
          </w:p>
        </w:tc>
        <w:tc>
          <w:tcPr>
            <w:tcW w:w="3543" w:type="dxa"/>
            <w:tcBorders>
              <w:top w:val="nil"/>
              <w:left w:val="nil"/>
              <w:bottom w:val="single" w:color="auto" w:sz="4" w:space="0"/>
              <w:right w:val="single" w:color="auto" w:sz="4" w:space="0"/>
            </w:tcBorders>
            <w:shd w:val="clear" w:color="auto" w:fill="auto"/>
            <w:vAlign w:val="center"/>
          </w:tcPr>
          <w:p>
            <w:pPr>
              <w:widowControl/>
              <w:jc w:val="left"/>
              <w:rPr>
                <w:rFonts w:hint="eastAsia" w:ascii="仿宋" w:hAnsi="仿宋" w:eastAsia="仿宋" w:cs="宋体"/>
                <w:kern w:val="0"/>
                <w:sz w:val="24"/>
                <w:lang w:eastAsia="zh-CN"/>
              </w:rPr>
            </w:pPr>
            <w:r>
              <w:rPr>
                <w:rFonts w:hint="eastAsia" w:ascii="仿宋" w:hAnsi="仿宋" w:eastAsia="仿宋" w:cs="宋体"/>
                <w:kern w:val="0"/>
                <w:sz w:val="24"/>
                <w:lang w:eastAsia="zh-CN"/>
              </w:rPr>
              <w:t>按设计和规范完成</w:t>
            </w:r>
          </w:p>
        </w:tc>
        <w:tc>
          <w:tcPr>
            <w:tcW w:w="13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lang w:eastAsia="zh-CN"/>
              </w:rPr>
              <w:t>合格率</w:t>
            </w:r>
            <w:r>
              <w:rPr>
                <w:rFonts w:hint="eastAsia" w:ascii="仿宋" w:hAnsi="仿宋" w:eastAsia="仿宋" w:cs="宋体"/>
                <w:kern w:val="0"/>
                <w:sz w:val="24"/>
                <w:lang w:val="en-US" w:eastAsia="zh-CN"/>
              </w:rPr>
              <w:t>10</w:t>
            </w:r>
            <w:r>
              <w:rPr>
                <w:rFonts w:hint="eastAsia" w:ascii="仿宋" w:hAnsi="仿宋" w:eastAsia="仿宋" w:cs="宋体"/>
                <w:kern w:val="0"/>
                <w:sz w:val="24"/>
              </w:rPr>
              <w:t>0%</w:t>
            </w:r>
          </w:p>
        </w:tc>
      </w:tr>
      <w:tr>
        <w:tblPrEx>
          <w:tblLayout w:type="fixed"/>
          <w:tblCellMar>
            <w:top w:w="0" w:type="dxa"/>
            <w:left w:w="108" w:type="dxa"/>
            <w:bottom w:w="0" w:type="dxa"/>
            <w:right w:w="108" w:type="dxa"/>
          </w:tblCellMar>
        </w:tblPrEx>
        <w:trPr>
          <w:trHeight w:val="585" w:hRule="atLeast"/>
        </w:trPr>
        <w:tc>
          <w:tcPr>
            <w:tcW w:w="1291" w:type="dxa"/>
            <w:vMerge w:val="continue"/>
            <w:tcBorders>
              <w:left w:val="single" w:color="auto" w:sz="4" w:space="0"/>
              <w:right w:val="single" w:color="auto" w:sz="4" w:space="0"/>
            </w:tcBorders>
            <w:vAlign w:val="center"/>
          </w:tcPr>
          <w:p>
            <w:pPr>
              <w:widowControl/>
              <w:jc w:val="left"/>
              <w:rPr>
                <w:rFonts w:ascii="仿宋" w:hAnsi="仿宋" w:eastAsia="仿宋" w:cs="宋体"/>
                <w:kern w:val="0"/>
                <w:sz w:val="24"/>
              </w:rPr>
            </w:pPr>
          </w:p>
        </w:tc>
        <w:tc>
          <w:tcPr>
            <w:tcW w:w="216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时效指标</w:t>
            </w:r>
          </w:p>
        </w:tc>
        <w:tc>
          <w:tcPr>
            <w:tcW w:w="3543" w:type="dxa"/>
            <w:tcBorders>
              <w:top w:val="nil"/>
              <w:left w:val="nil"/>
              <w:bottom w:val="single" w:color="auto" w:sz="4" w:space="0"/>
              <w:right w:val="single" w:color="auto" w:sz="4" w:space="0"/>
            </w:tcBorders>
            <w:shd w:val="clear" w:color="auto" w:fill="auto"/>
            <w:vAlign w:val="center"/>
          </w:tcPr>
          <w:p>
            <w:pPr>
              <w:widowControl/>
              <w:jc w:val="left"/>
              <w:rPr>
                <w:rFonts w:hint="eastAsia" w:ascii="仿宋" w:hAnsi="仿宋" w:eastAsia="仿宋" w:cs="宋体"/>
                <w:kern w:val="0"/>
                <w:sz w:val="24"/>
                <w:lang w:eastAsia="zh-CN"/>
              </w:rPr>
            </w:pPr>
            <w:r>
              <w:rPr>
                <w:rFonts w:hint="eastAsia" w:ascii="仿宋" w:hAnsi="仿宋" w:eastAsia="仿宋" w:cs="宋体"/>
                <w:kern w:val="0"/>
                <w:sz w:val="24"/>
                <w:lang w:eastAsia="zh-CN"/>
              </w:rPr>
              <w:t>本年度</w:t>
            </w:r>
          </w:p>
        </w:tc>
        <w:tc>
          <w:tcPr>
            <w:tcW w:w="137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宋体"/>
                <w:kern w:val="0"/>
                <w:sz w:val="24"/>
                <w:lang w:eastAsia="zh-CN"/>
              </w:rPr>
            </w:pPr>
            <w:r>
              <w:rPr>
                <w:rFonts w:hint="eastAsia" w:ascii="仿宋" w:hAnsi="仿宋" w:eastAsia="仿宋" w:cs="宋体"/>
                <w:kern w:val="0"/>
                <w:sz w:val="24"/>
                <w:lang w:eastAsia="zh-CN"/>
              </w:rPr>
              <w:t>本年度</w:t>
            </w:r>
          </w:p>
        </w:tc>
      </w:tr>
      <w:tr>
        <w:tblPrEx>
          <w:tblLayout w:type="fixed"/>
          <w:tblCellMar>
            <w:top w:w="0" w:type="dxa"/>
            <w:left w:w="108" w:type="dxa"/>
            <w:bottom w:w="0" w:type="dxa"/>
            <w:right w:w="108" w:type="dxa"/>
          </w:tblCellMar>
        </w:tblPrEx>
        <w:trPr>
          <w:trHeight w:val="585" w:hRule="atLeast"/>
        </w:trPr>
        <w:tc>
          <w:tcPr>
            <w:tcW w:w="1291"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4"/>
              </w:rPr>
            </w:pPr>
          </w:p>
        </w:tc>
        <w:tc>
          <w:tcPr>
            <w:tcW w:w="2169" w:type="dxa"/>
            <w:tcBorders>
              <w:top w:val="nil"/>
              <w:left w:val="nil"/>
              <w:bottom w:val="single" w:color="auto" w:sz="4" w:space="0"/>
              <w:right w:val="single" w:color="auto" w:sz="4" w:space="0"/>
            </w:tcBorders>
            <w:shd w:val="clear" w:color="auto" w:fill="auto"/>
            <w:vAlign w:val="center"/>
          </w:tcPr>
          <w:p>
            <w:pPr>
              <w:widowControl/>
              <w:ind w:firstLine="480" w:firstLineChars="200"/>
              <w:jc w:val="left"/>
              <w:rPr>
                <w:rFonts w:hint="eastAsia" w:ascii="仿宋" w:hAnsi="仿宋" w:eastAsia="仿宋" w:cs="宋体"/>
                <w:kern w:val="0"/>
                <w:sz w:val="24"/>
                <w:lang w:eastAsia="zh-CN"/>
              </w:rPr>
            </w:pPr>
            <w:r>
              <w:rPr>
                <w:rFonts w:hint="eastAsia" w:ascii="仿宋" w:hAnsi="仿宋" w:eastAsia="仿宋" w:cs="宋体"/>
                <w:kern w:val="0"/>
                <w:sz w:val="24"/>
                <w:lang w:eastAsia="zh-CN"/>
              </w:rPr>
              <w:t>成本指标</w:t>
            </w:r>
          </w:p>
        </w:tc>
        <w:tc>
          <w:tcPr>
            <w:tcW w:w="3543" w:type="dxa"/>
            <w:tcBorders>
              <w:top w:val="nil"/>
              <w:left w:val="nil"/>
              <w:bottom w:val="single" w:color="auto" w:sz="4" w:space="0"/>
              <w:right w:val="single" w:color="auto" w:sz="4" w:space="0"/>
            </w:tcBorders>
            <w:shd w:val="clear" w:color="auto" w:fill="auto"/>
            <w:vAlign w:val="center"/>
          </w:tcPr>
          <w:p>
            <w:pPr>
              <w:widowControl/>
              <w:jc w:val="left"/>
              <w:rPr>
                <w:rFonts w:hint="eastAsia" w:ascii="仿宋" w:hAnsi="仿宋" w:eastAsia="仿宋" w:cs="宋体"/>
                <w:kern w:val="0"/>
                <w:sz w:val="24"/>
                <w:lang w:eastAsia="zh-CN"/>
              </w:rPr>
            </w:pPr>
            <w:r>
              <w:rPr>
                <w:rFonts w:hint="eastAsia" w:ascii="仿宋" w:hAnsi="仿宋" w:eastAsia="仿宋" w:cs="宋体"/>
                <w:kern w:val="0"/>
                <w:sz w:val="24"/>
                <w:lang w:eastAsia="zh-CN"/>
              </w:rPr>
              <w:t>中央资金和市级财政资金</w:t>
            </w:r>
          </w:p>
        </w:tc>
        <w:tc>
          <w:tcPr>
            <w:tcW w:w="1376" w:type="dxa"/>
            <w:tcBorders>
              <w:top w:val="nil"/>
              <w:left w:val="nil"/>
              <w:bottom w:val="single" w:color="auto" w:sz="4" w:space="0"/>
              <w:right w:val="single" w:color="auto" w:sz="4" w:space="0"/>
            </w:tcBorders>
            <w:shd w:val="clear" w:color="auto" w:fill="auto"/>
            <w:vAlign w:val="center"/>
          </w:tcPr>
          <w:p>
            <w:pPr>
              <w:jc w:val="center"/>
              <w:rPr>
                <w:rFonts w:hint="eastAsia" w:ascii="仿宋" w:hAnsi="仿宋" w:eastAsia="仿宋" w:cs="宋体"/>
                <w:sz w:val="24"/>
                <w:lang w:eastAsia="zh-CN"/>
              </w:rPr>
            </w:pPr>
            <w:r>
              <w:rPr>
                <w:rFonts w:hint="eastAsia" w:ascii="仿宋" w:hAnsi="仿宋" w:eastAsia="仿宋"/>
                <w:lang w:val="en-US" w:eastAsia="zh-CN"/>
              </w:rPr>
              <w:t>3000万元</w:t>
            </w:r>
          </w:p>
        </w:tc>
      </w:tr>
      <w:tr>
        <w:tblPrEx>
          <w:tblLayout w:type="fixed"/>
          <w:tblCellMar>
            <w:top w:w="0" w:type="dxa"/>
            <w:left w:w="108" w:type="dxa"/>
            <w:bottom w:w="0" w:type="dxa"/>
            <w:right w:w="108" w:type="dxa"/>
          </w:tblCellMar>
        </w:tblPrEx>
        <w:trPr>
          <w:trHeight w:val="600" w:hRule="atLeast"/>
        </w:trPr>
        <w:tc>
          <w:tcPr>
            <w:tcW w:w="1291"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效益指标</w:t>
            </w:r>
          </w:p>
        </w:tc>
        <w:tc>
          <w:tcPr>
            <w:tcW w:w="216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经济效益指标</w:t>
            </w:r>
          </w:p>
        </w:tc>
        <w:tc>
          <w:tcPr>
            <w:tcW w:w="3543" w:type="dxa"/>
            <w:tcBorders>
              <w:top w:val="nil"/>
              <w:left w:val="nil"/>
              <w:bottom w:val="single" w:color="auto" w:sz="4" w:space="0"/>
              <w:right w:val="single" w:color="auto" w:sz="4" w:space="0"/>
            </w:tcBorders>
            <w:shd w:val="clear" w:color="auto" w:fill="auto"/>
            <w:vAlign w:val="center"/>
          </w:tcPr>
          <w:p>
            <w:pPr>
              <w:widowControl/>
              <w:jc w:val="left"/>
              <w:rPr>
                <w:rFonts w:hint="eastAsia" w:ascii="仿宋" w:hAnsi="仿宋" w:eastAsia="仿宋" w:cs="宋体"/>
                <w:kern w:val="0"/>
                <w:sz w:val="24"/>
                <w:lang w:eastAsia="zh-CN"/>
              </w:rPr>
            </w:pPr>
            <w:r>
              <w:rPr>
                <w:rFonts w:hint="eastAsia" w:ascii="仿宋" w:hAnsi="仿宋" w:eastAsia="仿宋" w:cs="宋体"/>
                <w:kern w:val="0"/>
                <w:sz w:val="24"/>
                <w:lang w:eastAsia="zh-CN"/>
              </w:rPr>
              <w:t>为经济社会发展提供安全保障</w:t>
            </w:r>
          </w:p>
        </w:tc>
        <w:tc>
          <w:tcPr>
            <w:tcW w:w="13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lang w:eastAsia="zh-CN"/>
              </w:rPr>
              <w:t>良好</w:t>
            </w:r>
            <w:r>
              <w:rPr>
                <w:rFonts w:hint="eastAsia" w:ascii="仿宋" w:hAnsi="仿宋" w:eastAsia="仿宋" w:cs="宋体"/>
                <w:kern w:val="0"/>
                <w:sz w:val="24"/>
              </w:rPr>
              <w:t>　</w:t>
            </w:r>
          </w:p>
        </w:tc>
      </w:tr>
      <w:tr>
        <w:tblPrEx>
          <w:tblLayout w:type="fixed"/>
          <w:tblCellMar>
            <w:top w:w="0" w:type="dxa"/>
            <w:left w:w="108" w:type="dxa"/>
            <w:bottom w:w="0" w:type="dxa"/>
            <w:right w:w="108" w:type="dxa"/>
          </w:tblCellMar>
        </w:tblPrEx>
        <w:trPr>
          <w:trHeight w:val="615" w:hRule="atLeast"/>
        </w:trPr>
        <w:tc>
          <w:tcPr>
            <w:tcW w:w="1291"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4"/>
              </w:rPr>
            </w:pPr>
          </w:p>
        </w:tc>
        <w:tc>
          <w:tcPr>
            <w:tcW w:w="216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社会效益指标</w:t>
            </w:r>
          </w:p>
        </w:tc>
        <w:tc>
          <w:tcPr>
            <w:tcW w:w="3543" w:type="dxa"/>
            <w:tcBorders>
              <w:top w:val="nil"/>
              <w:left w:val="nil"/>
              <w:bottom w:val="single" w:color="auto" w:sz="4" w:space="0"/>
              <w:right w:val="single" w:color="auto" w:sz="4" w:space="0"/>
            </w:tcBorders>
            <w:shd w:val="clear" w:color="auto" w:fill="auto"/>
            <w:vAlign w:val="center"/>
          </w:tcPr>
          <w:p>
            <w:pPr>
              <w:widowControl/>
              <w:jc w:val="left"/>
              <w:rPr>
                <w:rFonts w:hint="eastAsia" w:ascii="仿宋" w:hAnsi="仿宋" w:eastAsia="仿宋" w:cs="宋体"/>
                <w:kern w:val="0"/>
                <w:sz w:val="24"/>
                <w:lang w:eastAsia="zh-CN"/>
              </w:rPr>
            </w:pPr>
            <w:r>
              <w:rPr>
                <w:rFonts w:hint="eastAsia" w:ascii="仿宋" w:hAnsi="仿宋" w:eastAsia="仿宋" w:cs="宋体"/>
                <w:kern w:val="0"/>
                <w:sz w:val="24"/>
                <w:lang w:eastAsia="zh-CN"/>
              </w:rPr>
              <w:t>防洪安全</w:t>
            </w:r>
          </w:p>
        </w:tc>
        <w:tc>
          <w:tcPr>
            <w:tcW w:w="13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lang w:eastAsia="zh-CN"/>
              </w:rPr>
              <w:t>良</w:t>
            </w:r>
            <w:r>
              <w:rPr>
                <w:rFonts w:hint="eastAsia" w:ascii="仿宋" w:hAnsi="仿宋" w:eastAsia="仿宋" w:cs="宋体"/>
                <w:kern w:val="0"/>
                <w:sz w:val="24"/>
              </w:rPr>
              <w:t>好</w:t>
            </w:r>
          </w:p>
        </w:tc>
      </w:tr>
      <w:tr>
        <w:tblPrEx>
          <w:tblLayout w:type="fixed"/>
          <w:tblCellMar>
            <w:top w:w="0" w:type="dxa"/>
            <w:left w:w="108" w:type="dxa"/>
            <w:bottom w:w="0" w:type="dxa"/>
            <w:right w:w="108" w:type="dxa"/>
          </w:tblCellMar>
        </w:tblPrEx>
        <w:trPr>
          <w:trHeight w:val="480" w:hRule="atLeast"/>
        </w:trPr>
        <w:tc>
          <w:tcPr>
            <w:tcW w:w="1291"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4"/>
              </w:rPr>
            </w:pPr>
          </w:p>
        </w:tc>
        <w:tc>
          <w:tcPr>
            <w:tcW w:w="216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环境效益指标</w:t>
            </w:r>
          </w:p>
        </w:tc>
        <w:tc>
          <w:tcPr>
            <w:tcW w:w="3543" w:type="dxa"/>
            <w:tcBorders>
              <w:top w:val="nil"/>
              <w:left w:val="nil"/>
              <w:bottom w:val="single" w:color="auto" w:sz="4" w:space="0"/>
              <w:right w:val="single" w:color="auto" w:sz="4" w:space="0"/>
            </w:tcBorders>
            <w:shd w:val="clear" w:color="auto" w:fill="auto"/>
            <w:vAlign w:val="center"/>
          </w:tcPr>
          <w:p>
            <w:pPr>
              <w:widowControl/>
              <w:jc w:val="left"/>
              <w:rPr>
                <w:rFonts w:hint="eastAsia" w:ascii="仿宋" w:hAnsi="仿宋" w:eastAsia="仿宋" w:cs="宋体"/>
                <w:kern w:val="0"/>
                <w:sz w:val="24"/>
                <w:lang w:eastAsia="zh-CN"/>
              </w:rPr>
            </w:pPr>
            <w:r>
              <w:rPr>
                <w:rFonts w:hint="eastAsia" w:ascii="仿宋" w:hAnsi="仿宋" w:eastAsia="仿宋" w:cs="宋体"/>
                <w:kern w:val="0"/>
                <w:sz w:val="24"/>
                <w:lang w:eastAsia="zh-CN"/>
              </w:rPr>
              <w:t>无</w:t>
            </w:r>
          </w:p>
        </w:tc>
        <w:tc>
          <w:tcPr>
            <w:tcW w:w="13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好</w:t>
            </w:r>
          </w:p>
        </w:tc>
      </w:tr>
      <w:tr>
        <w:tblPrEx>
          <w:tblLayout w:type="fixed"/>
          <w:tblCellMar>
            <w:top w:w="0" w:type="dxa"/>
            <w:left w:w="108" w:type="dxa"/>
            <w:bottom w:w="0" w:type="dxa"/>
            <w:right w:w="108" w:type="dxa"/>
          </w:tblCellMar>
        </w:tblPrEx>
        <w:trPr>
          <w:trHeight w:val="675" w:hRule="atLeast"/>
        </w:trPr>
        <w:tc>
          <w:tcPr>
            <w:tcW w:w="1291"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4"/>
              </w:rPr>
            </w:pPr>
          </w:p>
        </w:tc>
        <w:tc>
          <w:tcPr>
            <w:tcW w:w="216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可持续影响指标</w:t>
            </w:r>
          </w:p>
        </w:tc>
        <w:tc>
          <w:tcPr>
            <w:tcW w:w="3543" w:type="dxa"/>
            <w:tcBorders>
              <w:top w:val="nil"/>
              <w:left w:val="nil"/>
              <w:bottom w:val="single" w:color="auto" w:sz="4" w:space="0"/>
              <w:right w:val="single" w:color="auto" w:sz="4" w:space="0"/>
            </w:tcBorders>
            <w:shd w:val="clear" w:color="auto" w:fill="auto"/>
            <w:vAlign w:val="center"/>
          </w:tcPr>
          <w:p>
            <w:pPr>
              <w:widowControl/>
              <w:jc w:val="left"/>
              <w:rPr>
                <w:rFonts w:hint="eastAsia" w:ascii="仿宋" w:hAnsi="仿宋" w:eastAsia="仿宋" w:cs="宋体"/>
                <w:kern w:val="0"/>
                <w:sz w:val="24"/>
                <w:lang w:eastAsia="zh-CN"/>
              </w:rPr>
            </w:pPr>
            <w:r>
              <w:rPr>
                <w:rFonts w:hint="eastAsia" w:ascii="仿宋" w:hAnsi="仿宋" w:eastAsia="仿宋" w:cs="宋体"/>
                <w:kern w:val="0"/>
                <w:sz w:val="24"/>
                <w:lang w:eastAsia="zh-CN"/>
              </w:rPr>
              <w:t>保障防洪安全</w:t>
            </w:r>
          </w:p>
        </w:tc>
        <w:tc>
          <w:tcPr>
            <w:tcW w:w="137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宋体"/>
                <w:kern w:val="0"/>
                <w:sz w:val="24"/>
                <w:lang w:eastAsia="zh-CN"/>
              </w:rPr>
            </w:pPr>
            <w:r>
              <w:rPr>
                <w:rFonts w:hint="eastAsia" w:ascii="仿宋" w:hAnsi="仿宋" w:eastAsia="仿宋" w:cs="宋体"/>
                <w:kern w:val="0"/>
                <w:sz w:val="24"/>
                <w:lang w:eastAsia="zh-CN"/>
              </w:rPr>
              <w:t>良好</w:t>
            </w:r>
          </w:p>
        </w:tc>
      </w:tr>
      <w:tr>
        <w:tblPrEx>
          <w:tblLayout w:type="fixed"/>
          <w:tblCellMar>
            <w:top w:w="0" w:type="dxa"/>
            <w:left w:w="108" w:type="dxa"/>
            <w:bottom w:w="0" w:type="dxa"/>
            <w:right w:w="108" w:type="dxa"/>
          </w:tblCellMar>
        </w:tblPrEx>
        <w:trPr>
          <w:trHeight w:val="675" w:hRule="atLeast"/>
        </w:trPr>
        <w:tc>
          <w:tcPr>
            <w:tcW w:w="1291"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4"/>
              </w:rPr>
            </w:pPr>
          </w:p>
        </w:tc>
        <w:tc>
          <w:tcPr>
            <w:tcW w:w="216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社会公众或服务对象满意度指标</w:t>
            </w:r>
          </w:p>
        </w:tc>
        <w:tc>
          <w:tcPr>
            <w:tcW w:w="3543" w:type="dxa"/>
            <w:tcBorders>
              <w:top w:val="nil"/>
              <w:left w:val="nil"/>
              <w:bottom w:val="single" w:color="auto" w:sz="4" w:space="0"/>
              <w:right w:val="single" w:color="auto" w:sz="4" w:space="0"/>
            </w:tcBorders>
            <w:shd w:val="clear" w:color="auto" w:fill="auto"/>
            <w:vAlign w:val="center"/>
          </w:tcPr>
          <w:p>
            <w:pPr>
              <w:widowControl/>
              <w:jc w:val="left"/>
              <w:rPr>
                <w:rFonts w:hint="eastAsia" w:ascii="仿宋" w:hAnsi="仿宋" w:eastAsia="仿宋" w:cs="宋体"/>
                <w:kern w:val="0"/>
                <w:sz w:val="24"/>
                <w:lang w:eastAsia="zh-CN"/>
              </w:rPr>
            </w:pPr>
            <w:r>
              <w:rPr>
                <w:rFonts w:hint="eastAsia" w:ascii="仿宋" w:hAnsi="仿宋" w:eastAsia="仿宋" w:cs="宋体"/>
                <w:kern w:val="0"/>
                <w:sz w:val="24"/>
                <w:lang w:eastAsia="zh-CN"/>
              </w:rPr>
              <w:t>满意</w:t>
            </w:r>
          </w:p>
        </w:tc>
        <w:tc>
          <w:tcPr>
            <w:tcW w:w="13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90%以上</w:t>
            </w:r>
          </w:p>
        </w:tc>
      </w:tr>
    </w:tbl>
    <w:p>
      <w:pPr>
        <w:spacing w:line="520" w:lineRule="exact"/>
        <w:ind w:firstLine="560" w:firstLineChars="200"/>
        <w:outlineLvl w:val="1"/>
        <w:rPr>
          <w:rFonts w:ascii="仿宋" w:hAnsi="仿宋" w:eastAsia="仿宋"/>
          <w:bCs/>
          <w:sz w:val="28"/>
          <w:szCs w:val="28"/>
        </w:rPr>
      </w:pPr>
      <w:bookmarkStart w:id="7" w:name="_Toc517708012"/>
      <w:r>
        <w:rPr>
          <w:rFonts w:hint="eastAsia" w:ascii="仿宋" w:hAnsi="仿宋" w:eastAsia="仿宋"/>
          <w:bCs/>
          <w:sz w:val="28"/>
          <w:szCs w:val="28"/>
        </w:rPr>
        <w:t>（三）经费来源及支出情况</w:t>
      </w:r>
      <w:bookmarkEnd w:id="6"/>
      <w:bookmarkEnd w:id="7"/>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2017年项目预算投资</w:t>
      </w:r>
      <w:r>
        <w:rPr>
          <w:rFonts w:hint="eastAsia" w:ascii="仿宋" w:hAnsi="仿宋" w:eastAsia="仿宋"/>
          <w:bCs/>
          <w:sz w:val="28"/>
          <w:szCs w:val="28"/>
          <w:lang w:val="en-US" w:eastAsia="zh-CN"/>
        </w:rPr>
        <w:t>4911.61</w:t>
      </w:r>
      <w:r>
        <w:rPr>
          <w:rFonts w:hint="eastAsia" w:ascii="仿宋" w:hAnsi="仿宋" w:eastAsia="仿宋"/>
          <w:bCs/>
          <w:sz w:val="28"/>
          <w:szCs w:val="28"/>
        </w:rPr>
        <w:t>万元，其中一般公共预算财政拨款收入</w:t>
      </w:r>
      <w:r>
        <w:rPr>
          <w:rFonts w:hint="eastAsia" w:ascii="仿宋" w:hAnsi="仿宋" w:eastAsia="仿宋"/>
          <w:bCs/>
          <w:sz w:val="28"/>
          <w:szCs w:val="28"/>
          <w:lang w:val="en-US" w:eastAsia="zh-CN"/>
        </w:rPr>
        <w:t>4338.51</w:t>
      </w:r>
      <w:r>
        <w:rPr>
          <w:rFonts w:hint="eastAsia" w:ascii="仿宋" w:hAnsi="仿宋" w:eastAsia="仿宋"/>
          <w:bCs/>
          <w:sz w:val="28"/>
          <w:szCs w:val="28"/>
        </w:rPr>
        <w:t>万元、</w:t>
      </w:r>
      <w:r>
        <w:rPr>
          <w:rFonts w:hint="eastAsia" w:ascii="仿宋" w:hAnsi="仿宋" w:eastAsia="仿宋"/>
          <w:bCs/>
          <w:sz w:val="28"/>
          <w:szCs w:val="28"/>
          <w:lang w:eastAsia="zh-CN"/>
        </w:rPr>
        <w:t>事业收入</w:t>
      </w:r>
      <w:r>
        <w:rPr>
          <w:rFonts w:hint="eastAsia" w:ascii="仿宋" w:hAnsi="仿宋" w:eastAsia="仿宋"/>
          <w:bCs/>
          <w:sz w:val="28"/>
          <w:szCs w:val="28"/>
          <w:lang w:val="en-US" w:eastAsia="zh-CN"/>
        </w:rPr>
        <w:t>262.21万元，</w:t>
      </w:r>
      <w:r>
        <w:rPr>
          <w:rFonts w:hint="eastAsia" w:ascii="仿宋" w:hAnsi="仿宋" w:eastAsia="仿宋"/>
          <w:bCs/>
          <w:sz w:val="28"/>
          <w:szCs w:val="28"/>
        </w:rPr>
        <w:t>其他收入</w:t>
      </w:r>
      <w:r>
        <w:rPr>
          <w:rFonts w:hint="eastAsia" w:ascii="仿宋" w:hAnsi="仿宋" w:eastAsia="仿宋"/>
          <w:bCs/>
          <w:sz w:val="28"/>
          <w:szCs w:val="28"/>
          <w:lang w:val="en-US" w:eastAsia="zh-CN"/>
        </w:rPr>
        <w:t>3</w:t>
      </w:r>
      <w:r>
        <w:rPr>
          <w:rFonts w:hint="eastAsia" w:ascii="仿宋" w:hAnsi="仿宋" w:eastAsia="仿宋"/>
          <w:bCs/>
          <w:sz w:val="28"/>
          <w:szCs w:val="28"/>
        </w:rPr>
        <w:t>0万元、上年结转财政拨款</w:t>
      </w:r>
      <w:r>
        <w:rPr>
          <w:rFonts w:hint="eastAsia" w:ascii="仿宋" w:hAnsi="仿宋" w:eastAsia="仿宋"/>
          <w:bCs/>
          <w:sz w:val="28"/>
          <w:szCs w:val="28"/>
          <w:lang w:val="en-US" w:eastAsia="zh-CN"/>
        </w:rPr>
        <w:t>362.44</w:t>
      </w:r>
      <w:r>
        <w:rPr>
          <w:rFonts w:hint="eastAsia" w:ascii="仿宋" w:hAnsi="仿宋" w:eastAsia="仿宋"/>
          <w:bCs/>
          <w:sz w:val="28"/>
          <w:szCs w:val="28"/>
        </w:rPr>
        <w:t>万元。项目预算投资具体情况：</w:t>
      </w:r>
      <w:r>
        <w:rPr>
          <w:rFonts w:hint="eastAsia" w:ascii="仿宋" w:hAnsi="仿宋" w:eastAsia="仿宋"/>
          <w:bCs/>
          <w:sz w:val="28"/>
          <w:szCs w:val="28"/>
          <w:lang w:eastAsia="zh-CN"/>
        </w:rPr>
        <w:t>汉江沿河堤东菜园水毁整治工程</w:t>
      </w:r>
      <w:r>
        <w:rPr>
          <w:rFonts w:hint="eastAsia" w:ascii="仿宋" w:hAnsi="仿宋" w:eastAsia="仿宋"/>
          <w:bCs/>
          <w:sz w:val="28"/>
          <w:szCs w:val="28"/>
          <w:lang w:val="en-US" w:eastAsia="zh-CN"/>
        </w:rPr>
        <w:t>298.51</w:t>
      </w:r>
      <w:r>
        <w:rPr>
          <w:rFonts w:hint="eastAsia" w:ascii="仿宋" w:hAnsi="仿宋" w:eastAsia="仿宋"/>
          <w:bCs/>
          <w:sz w:val="28"/>
          <w:szCs w:val="28"/>
        </w:rPr>
        <w:t>万元、</w:t>
      </w:r>
      <w:r>
        <w:rPr>
          <w:rFonts w:hint="eastAsia" w:ascii="仿宋" w:hAnsi="仿宋" w:eastAsia="仿宋"/>
          <w:bCs/>
          <w:sz w:val="28"/>
          <w:szCs w:val="28"/>
          <w:lang w:eastAsia="zh-CN"/>
        </w:rPr>
        <w:t>环汉口绿道（汉江六桥至舵落口段）工程</w:t>
      </w:r>
      <w:r>
        <w:rPr>
          <w:rFonts w:hint="eastAsia" w:ascii="仿宋" w:hAnsi="仿宋" w:eastAsia="仿宋"/>
          <w:bCs/>
          <w:sz w:val="28"/>
          <w:szCs w:val="28"/>
          <w:lang w:val="en-US" w:eastAsia="zh-CN"/>
        </w:rPr>
        <w:t>500</w:t>
      </w:r>
      <w:r>
        <w:rPr>
          <w:rFonts w:hint="eastAsia" w:ascii="仿宋" w:hAnsi="仿宋" w:eastAsia="仿宋"/>
          <w:bCs/>
          <w:sz w:val="28"/>
          <w:szCs w:val="28"/>
        </w:rPr>
        <w:t>万元、</w:t>
      </w:r>
      <w:r>
        <w:rPr>
          <w:rFonts w:hint="eastAsia" w:ascii="仿宋" w:hAnsi="仿宋" w:eastAsia="仿宋"/>
          <w:bCs/>
          <w:sz w:val="28"/>
          <w:szCs w:val="28"/>
          <w:lang w:eastAsia="zh-CN"/>
        </w:rPr>
        <w:t>武昌市区堤鄂航码头至电厂闸口段岸坡改造及环境整治项目</w:t>
      </w:r>
      <w:r>
        <w:rPr>
          <w:rFonts w:hint="eastAsia" w:ascii="仿宋" w:hAnsi="仿宋" w:eastAsia="仿宋"/>
          <w:bCs/>
          <w:sz w:val="28"/>
          <w:szCs w:val="28"/>
          <w:lang w:val="en-US" w:eastAsia="zh-CN"/>
        </w:rPr>
        <w:t>70</w:t>
      </w:r>
      <w:r>
        <w:rPr>
          <w:rFonts w:hint="eastAsia" w:ascii="仿宋" w:hAnsi="仿宋" w:eastAsia="仿宋"/>
          <w:bCs/>
          <w:sz w:val="28"/>
          <w:szCs w:val="28"/>
        </w:rPr>
        <w:t>万元，</w:t>
      </w:r>
      <w:r>
        <w:rPr>
          <w:rFonts w:hint="eastAsia" w:ascii="仿宋" w:hAnsi="仿宋" w:eastAsia="仿宋"/>
          <w:bCs/>
          <w:sz w:val="28"/>
          <w:szCs w:val="28"/>
          <w:lang w:eastAsia="zh-CN"/>
        </w:rPr>
        <w:t>三峡后续工作长江中下游影响处理湖北武汉段一期河道整治工程</w:t>
      </w:r>
      <w:r>
        <w:rPr>
          <w:rFonts w:hint="eastAsia" w:ascii="仿宋" w:hAnsi="仿宋" w:eastAsia="仿宋"/>
          <w:bCs/>
          <w:sz w:val="28"/>
          <w:szCs w:val="28"/>
          <w:lang w:val="en-US" w:eastAsia="zh-CN"/>
        </w:rPr>
        <w:t>3000万元，基本建设项目建设管理费310.66万元，防汛</w:t>
      </w:r>
      <w:r>
        <w:rPr>
          <w:rFonts w:hint="eastAsia" w:ascii="仿宋" w:hAnsi="仿宋" w:eastAsia="仿宋"/>
          <w:bCs/>
          <w:sz w:val="28"/>
          <w:szCs w:val="28"/>
          <w:lang w:eastAsia="zh-CN"/>
        </w:rPr>
        <w:t>物资管理</w:t>
      </w:r>
      <w:r>
        <w:rPr>
          <w:rFonts w:hint="eastAsia" w:ascii="仿宋" w:hAnsi="仿宋" w:eastAsia="仿宋"/>
          <w:bCs/>
          <w:sz w:val="28"/>
          <w:szCs w:val="28"/>
          <w:lang w:val="en-US" w:eastAsia="zh-CN"/>
        </w:rPr>
        <w:t>115</w:t>
      </w:r>
      <w:r>
        <w:rPr>
          <w:rFonts w:hint="eastAsia" w:ascii="仿宋" w:hAnsi="仿宋" w:eastAsia="仿宋"/>
          <w:bCs/>
          <w:sz w:val="28"/>
          <w:szCs w:val="28"/>
        </w:rPr>
        <w:t>万元，</w:t>
      </w:r>
      <w:r>
        <w:rPr>
          <w:rFonts w:hint="eastAsia" w:ascii="仿宋" w:hAnsi="仿宋" w:eastAsia="仿宋"/>
          <w:bCs/>
          <w:sz w:val="28"/>
          <w:szCs w:val="28"/>
          <w:lang w:eastAsia="zh-CN"/>
        </w:rPr>
        <w:t>堤防整险及加固</w:t>
      </w:r>
      <w:r>
        <w:rPr>
          <w:rFonts w:hint="eastAsia" w:ascii="仿宋" w:hAnsi="仿宋" w:eastAsia="仿宋"/>
          <w:bCs/>
          <w:sz w:val="28"/>
          <w:szCs w:val="28"/>
          <w:lang w:val="en-US" w:eastAsia="zh-CN"/>
        </w:rPr>
        <w:t>132.44万</w:t>
      </w:r>
      <w:r>
        <w:rPr>
          <w:rFonts w:hint="eastAsia" w:ascii="仿宋" w:hAnsi="仿宋" w:eastAsia="仿宋"/>
          <w:bCs/>
          <w:sz w:val="28"/>
          <w:szCs w:val="28"/>
        </w:rPr>
        <w:t>元，</w:t>
      </w:r>
      <w:r>
        <w:rPr>
          <w:rFonts w:hint="eastAsia" w:ascii="仿宋" w:hAnsi="仿宋" w:eastAsia="仿宋"/>
          <w:bCs/>
          <w:sz w:val="28"/>
          <w:szCs w:val="28"/>
          <w:lang w:eastAsia="zh-CN"/>
        </w:rPr>
        <w:t>防汛物资采购</w:t>
      </w:r>
      <w:r>
        <w:rPr>
          <w:rFonts w:hint="eastAsia" w:ascii="仿宋" w:hAnsi="仿宋" w:eastAsia="仿宋"/>
          <w:bCs/>
          <w:sz w:val="28"/>
          <w:szCs w:val="28"/>
          <w:lang w:val="en-US" w:eastAsia="zh-CN"/>
        </w:rPr>
        <w:t>200</w:t>
      </w:r>
      <w:r>
        <w:rPr>
          <w:rFonts w:hint="eastAsia" w:ascii="仿宋" w:hAnsi="仿宋" w:eastAsia="仿宋"/>
          <w:bCs/>
          <w:sz w:val="28"/>
          <w:szCs w:val="28"/>
        </w:rPr>
        <w:t>万元</w:t>
      </w:r>
      <w:r>
        <w:rPr>
          <w:rFonts w:hint="eastAsia" w:ascii="仿宋" w:hAnsi="仿宋" w:eastAsia="仿宋"/>
          <w:bCs/>
          <w:sz w:val="28"/>
          <w:szCs w:val="28"/>
          <w:lang w:eastAsia="zh-CN"/>
        </w:rPr>
        <w:t>，防汛仓库维修</w:t>
      </w:r>
      <w:r>
        <w:rPr>
          <w:rFonts w:hint="eastAsia" w:ascii="仿宋" w:hAnsi="仿宋" w:eastAsia="仿宋"/>
          <w:bCs/>
          <w:sz w:val="28"/>
          <w:szCs w:val="28"/>
          <w:lang w:val="en-US" w:eastAsia="zh-CN"/>
        </w:rPr>
        <w:t>55万元，防汛抗旱业务管理230万元</w:t>
      </w:r>
      <w:r>
        <w:rPr>
          <w:rFonts w:hint="eastAsia" w:ascii="仿宋" w:hAnsi="仿宋" w:eastAsia="仿宋"/>
          <w:bCs/>
          <w:sz w:val="28"/>
          <w:szCs w:val="28"/>
        </w:rPr>
        <w:t>。</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截止2017年12月31日，预算项目支出</w:t>
      </w:r>
      <w:r>
        <w:rPr>
          <w:rFonts w:hint="eastAsia" w:ascii="仿宋" w:hAnsi="仿宋" w:eastAsia="仿宋"/>
          <w:bCs/>
          <w:sz w:val="28"/>
          <w:szCs w:val="28"/>
          <w:lang w:val="en-US" w:eastAsia="zh-CN"/>
        </w:rPr>
        <w:t>4786.10</w:t>
      </w:r>
      <w:r>
        <w:rPr>
          <w:rFonts w:hint="eastAsia" w:ascii="仿宋" w:hAnsi="仿宋" w:eastAsia="仿宋"/>
          <w:bCs/>
          <w:sz w:val="28"/>
          <w:szCs w:val="28"/>
        </w:rPr>
        <w:t>万元，其中：：</w:t>
      </w:r>
      <w:r>
        <w:rPr>
          <w:rFonts w:hint="eastAsia" w:ascii="仿宋" w:hAnsi="仿宋" w:eastAsia="仿宋"/>
          <w:bCs/>
          <w:sz w:val="28"/>
          <w:szCs w:val="28"/>
          <w:lang w:eastAsia="zh-CN"/>
        </w:rPr>
        <w:t>汉江沿河堤东菜园水毁整治工程</w:t>
      </w:r>
      <w:r>
        <w:rPr>
          <w:rFonts w:hint="eastAsia" w:ascii="仿宋" w:hAnsi="仿宋" w:eastAsia="仿宋"/>
          <w:bCs/>
          <w:sz w:val="28"/>
          <w:szCs w:val="28"/>
          <w:lang w:val="en-US" w:eastAsia="zh-CN"/>
        </w:rPr>
        <w:t>298.51</w:t>
      </w:r>
      <w:r>
        <w:rPr>
          <w:rFonts w:hint="eastAsia" w:ascii="仿宋" w:hAnsi="仿宋" w:eastAsia="仿宋"/>
          <w:bCs/>
          <w:sz w:val="28"/>
          <w:szCs w:val="28"/>
        </w:rPr>
        <w:t>万元、</w:t>
      </w:r>
      <w:r>
        <w:rPr>
          <w:rFonts w:hint="eastAsia" w:ascii="仿宋" w:hAnsi="仿宋" w:eastAsia="仿宋"/>
          <w:bCs/>
          <w:sz w:val="28"/>
          <w:szCs w:val="28"/>
          <w:lang w:eastAsia="zh-CN"/>
        </w:rPr>
        <w:t>环汉口绿道（汉江六桥至舵落口段）工程</w:t>
      </w:r>
      <w:r>
        <w:rPr>
          <w:rFonts w:hint="eastAsia" w:ascii="仿宋" w:hAnsi="仿宋" w:eastAsia="仿宋"/>
          <w:bCs/>
          <w:sz w:val="28"/>
          <w:szCs w:val="28"/>
          <w:lang w:val="en-US" w:eastAsia="zh-CN"/>
        </w:rPr>
        <w:t>500</w:t>
      </w:r>
      <w:r>
        <w:rPr>
          <w:rFonts w:hint="eastAsia" w:ascii="仿宋" w:hAnsi="仿宋" w:eastAsia="仿宋"/>
          <w:bCs/>
          <w:sz w:val="28"/>
          <w:szCs w:val="28"/>
        </w:rPr>
        <w:t>万元、</w:t>
      </w:r>
      <w:r>
        <w:rPr>
          <w:rFonts w:hint="eastAsia" w:ascii="仿宋" w:hAnsi="仿宋" w:eastAsia="仿宋"/>
          <w:bCs/>
          <w:sz w:val="28"/>
          <w:szCs w:val="28"/>
          <w:lang w:eastAsia="zh-CN"/>
        </w:rPr>
        <w:t>武昌市区堤鄂航码头至电厂闸口段岸坡改造及环境整治项目</w:t>
      </w:r>
      <w:r>
        <w:rPr>
          <w:rFonts w:hint="eastAsia" w:ascii="仿宋" w:hAnsi="仿宋" w:eastAsia="仿宋"/>
          <w:bCs/>
          <w:sz w:val="28"/>
          <w:szCs w:val="28"/>
          <w:lang w:val="en-US" w:eastAsia="zh-CN"/>
        </w:rPr>
        <w:t>40.36</w:t>
      </w:r>
      <w:r>
        <w:rPr>
          <w:rFonts w:hint="eastAsia" w:ascii="仿宋" w:hAnsi="仿宋" w:eastAsia="仿宋"/>
          <w:bCs/>
          <w:sz w:val="28"/>
          <w:szCs w:val="28"/>
        </w:rPr>
        <w:t>万元，</w:t>
      </w:r>
      <w:r>
        <w:rPr>
          <w:rFonts w:hint="eastAsia" w:ascii="仿宋" w:hAnsi="仿宋" w:eastAsia="仿宋"/>
          <w:bCs/>
          <w:sz w:val="28"/>
          <w:szCs w:val="28"/>
          <w:lang w:eastAsia="zh-CN"/>
        </w:rPr>
        <w:t>三峡后续工作长江中下游影响处理湖北武汉段一期河道整治工程</w:t>
      </w:r>
      <w:r>
        <w:rPr>
          <w:rFonts w:hint="eastAsia" w:ascii="仿宋" w:hAnsi="仿宋" w:eastAsia="仿宋"/>
          <w:bCs/>
          <w:sz w:val="28"/>
          <w:szCs w:val="28"/>
          <w:lang w:val="en-US" w:eastAsia="zh-CN"/>
        </w:rPr>
        <w:t>3000万元，基本建设项目建设管理费245.17万元，防汛</w:t>
      </w:r>
      <w:r>
        <w:rPr>
          <w:rFonts w:hint="eastAsia" w:ascii="仿宋" w:hAnsi="仿宋" w:eastAsia="仿宋"/>
          <w:bCs/>
          <w:sz w:val="28"/>
          <w:szCs w:val="28"/>
          <w:lang w:eastAsia="zh-CN"/>
        </w:rPr>
        <w:t>物资管理</w:t>
      </w:r>
      <w:r>
        <w:rPr>
          <w:rFonts w:hint="eastAsia" w:ascii="仿宋" w:hAnsi="仿宋" w:eastAsia="仿宋"/>
          <w:bCs/>
          <w:sz w:val="28"/>
          <w:szCs w:val="28"/>
          <w:lang w:val="en-US" w:eastAsia="zh-CN"/>
        </w:rPr>
        <w:t>115</w:t>
      </w:r>
      <w:r>
        <w:rPr>
          <w:rFonts w:hint="eastAsia" w:ascii="仿宋" w:hAnsi="仿宋" w:eastAsia="仿宋"/>
          <w:bCs/>
          <w:sz w:val="28"/>
          <w:szCs w:val="28"/>
        </w:rPr>
        <w:t>万元，</w:t>
      </w:r>
      <w:r>
        <w:rPr>
          <w:rFonts w:hint="eastAsia" w:ascii="仿宋" w:hAnsi="仿宋" w:eastAsia="仿宋"/>
          <w:bCs/>
          <w:sz w:val="28"/>
          <w:szCs w:val="28"/>
          <w:lang w:eastAsia="zh-CN"/>
        </w:rPr>
        <w:t>堤防整险及加固</w:t>
      </w:r>
      <w:r>
        <w:rPr>
          <w:rFonts w:hint="eastAsia" w:ascii="仿宋" w:hAnsi="仿宋" w:eastAsia="仿宋"/>
          <w:bCs/>
          <w:sz w:val="28"/>
          <w:szCs w:val="28"/>
          <w:lang w:val="en-US" w:eastAsia="zh-CN"/>
        </w:rPr>
        <w:t>132.04万</w:t>
      </w:r>
      <w:r>
        <w:rPr>
          <w:rFonts w:hint="eastAsia" w:ascii="仿宋" w:hAnsi="仿宋" w:eastAsia="仿宋"/>
          <w:bCs/>
          <w:sz w:val="28"/>
          <w:szCs w:val="28"/>
        </w:rPr>
        <w:t>元，</w:t>
      </w:r>
      <w:r>
        <w:rPr>
          <w:rFonts w:hint="eastAsia" w:ascii="仿宋" w:hAnsi="仿宋" w:eastAsia="仿宋"/>
          <w:bCs/>
          <w:sz w:val="28"/>
          <w:szCs w:val="28"/>
          <w:lang w:eastAsia="zh-CN"/>
        </w:rPr>
        <w:t>防汛物资采购</w:t>
      </w:r>
      <w:r>
        <w:rPr>
          <w:rFonts w:hint="eastAsia" w:ascii="仿宋" w:hAnsi="仿宋" w:eastAsia="仿宋"/>
          <w:bCs/>
          <w:sz w:val="28"/>
          <w:szCs w:val="28"/>
          <w:lang w:val="en-US" w:eastAsia="zh-CN"/>
        </w:rPr>
        <w:t>200</w:t>
      </w:r>
      <w:r>
        <w:rPr>
          <w:rFonts w:hint="eastAsia" w:ascii="仿宋" w:hAnsi="仿宋" w:eastAsia="仿宋"/>
          <w:bCs/>
          <w:sz w:val="28"/>
          <w:szCs w:val="28"/>
        </w:rPr>
        <w:t>万元</w:t>
      </w:r>
      <w:r>
        <w:rPr>
          <w:rFonts w:hint="eastAsia" w:ascii="仿宋" w:hAnsi="仿宋" w:eastAsia="仿宋"/>
          <w:bCs/>
          <w:sz w:val="28"/>
          <w:szCs w:val="28"/>
          <w:lang w:eastAsia="zh-CN"/>
        </w:rPr>
        <w:t>，防汛仓库维修</w:t>
      </w:r>
      <w:r>
        <w:rPr>
          <w:rFonts w:hint="eastAsia" w:ascii="仿宋" w:hAnsi="仿宋" w:eastAsia="仿宋"/>
          <w:bCs/>
          <w:sz w:val="28"/>
          <w:szCs w:val="28"/>
          <w:lang w:val="en-US" w:eastAsia="zh-CN"/>
        </w:rPr>
        <w:t>55万元，防汛抗旱业务管理200.02万元</w:t>
      </w:r>
      <w:r>
        <w:rPr>
          <w:rFonts w:hint="eastAsia" w:ascii="仿宋" w:hAnsi="仿宋" w:eastAsia="仿宋"/>
          <w:bCs/>
          <w:sz w:val="28"/>
          <w:szCs w:val="28"/>
        </w:rPr>
        <w:t>。</w:t>
      </w:r>
    </w:p>
    <w:p>
      <w:pPr>
        <w:spacing w:line="520" w:lineRule="exact"/>
        <w:ind w:firstLine="560" w:firstLineChars="200"/>
        <w:rPr>
          <w:rFonts w:hint="eastAsia" w:ascii="仿宋" w:hAnsi="仿宋" w:eastAsia="仿宋"/>
          <w:bCs/>
          <w:sz w:val="28"/>
          <w:szCs w:val="28"/>
        </w:rPr>
      </w:pPr>
      <w:r>
        <w:rPr>
          <w:rFonts w:hint="eastAsia" w:ascii="仿宋" w:hAnsi="仿宋" w:eastAsia="仿宋"/>
          <w:bCs/>
          <w:sz w:val="28"/>
          <w:szCs w:val="28"/>
        </w:rPr>
        <w:t>具体支出明细如下表：</w:t>
      </w:r>
    </w:p>
    <w:p>
      <w:pPr>
        <w:spacing w:line="520" w:lineRule="exact"/>
        <w:ind w:firstLine="560" w:firstLineChars="200"/>
        <w:rPr>
          <w:rFonts w:hint="eastAsia" w:ascii="仿宋" w:hAnsi="仿宋" w:eastAsia="仿宋"/>
          <w:bCs/>
          <w:sz w:val="28"/>
          <w:szCs w:val="28"/>
        </w:rPr>
      </w:pPr>
    </w:p>
    <w:tbl>
      <w:tblPr>
        <w:tblStyle w:val="9"/>
        <w:tblW w:w="9630" w:type="dxa"/>
        <w:tblInd w:w="-299" w:type="dxa"/>
        <w:tblLayout w:type="fixed"/>
        <w:tblCellMar>
          <w:top w:w="0" w:type="dxa"/>
          <w:left w:w="108" w:type="dxa"/>
          <w:bottom w:w="0" w:type="dxa"/>
          <w:right w:w="108" w:type="dxa"/>
        </w:tblCellMar>
      </w:tblPr>
      <w:tblGrid>
        <w:gridCol w:w="435"/>
        <w:gridCol w:w="1290"/>
        <w:gridCol w:w="780"/>
        <w:gridCol w:w="863"/>
        <w:gridCol w:w="1"/>
        <w:gridCol w:w="891"/>
        <w:gridCol w:w="1005"/>
        <w:gridCol w:w="870"/>
        <w:gridCol w:w="660"/>
        <w:gridCol w:w="810"/>
        <w:gridCol w:w="540"/>
        <w:gridCol w:w="615"/>
        <w:gridCol w:w="870"/>
      </w:tblGrid>
      <w:tr>
        <w:tblPrEx>
          <w:tblLayout w:type="fixed"/>
          <w:tblCellMar>
            <w:top w:w="0" w:type="dxa"/>
            <w:left w:w="108" w:type="dxa"/>
            <w:bottom w:w="0" w:type="dxa"/>
            <w:right w:w="108" w:type="dxa"/>
          </w:tblCellMar>
        </w:tblPrEx>
        <w:trPr>
          <w:trHeight w:val="720" w:hRule="atLeast"/>
          <w:tblHeader/>
        </w:trPr>
        <w:tc>
          <w:tcPr>
            <w:tcW w:w="4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序号</w:t>
            </w:r>
          </w:p>
        </w:tc>
        <w:tc>
          <w:tcPr>
            <w:tcW w:w="129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经济科目名称</w:t>
            </w:r>
          </w:p>
        </w:tc>
        <w:tc>
          <w:tcPr>
            <w:tcW w:w="7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lang w:eastAsia="zh-CN"/>
              </w:rPr>
              <w:t>汉江沿河堤东菜园水毁整治工程</w:t>
            </w:r>
          </w:p>
        </w:tc>
        <w:tc>
          <w:tcPr>
            <w:tcW w:w="86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lang w:eastAsia="zh-CN"/>
              </w:rPr>
              <w:t>环汉口绿道（汉江六桥至舵落口段）工程</w:t>
            </w:r>
          </w:p>
        </w:tc>
        <w:tc>
          <w:tcPr>
            <w:tcW w:w="89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lang w:eastAsia="zh-CN"/>
              </w:rPr>
              <w:t>武昌市区堤鄂航码头至电厂闸口段岸坡改造及环境整治项目</w:t>
            </w:r>
          </w:p>
        </w:tc>
        <w:tc>
          <w:tcPr>
            <w:tcW w:w="100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lang w:eastAsia="zh-CN"/>
              </w:rPr>
              <w:t>三峡后续工作长江中下游影响处理湖北武汉段一期河道整治工程</w:t>
            </w:r>
          </w:p>
        </w:tc>
        <w:tc>
          <w:tcPr>
            <w:tcW w:w="8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基本建设项目建设管理费</w:t>
            </w:r>
          </w:p>
        </w:tc>
        <w:tc>
          <w:tcPr>
            <w:tcW w:w="6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防汛</w:t>
            </w:r>
            <w:r>
              <w:rPr>
                <w:rFonts w:hint="eastAsia" w:ascii="宋体" w:hAnsi="宋体" w:eastAsia="宋体" w:cs="宋体"/>
                <w:kern w:val="0"/>
                <w:sz w:val="20"/>
                <w:szCs w:val="20"/>
                <w:lang w:eastAsia="zh-CN"/>
              </w:rPr>
              <w:t>物资管理</w:t>
            </w:r>
          </w:p>
        </w:tc>
        <w:tc>
          <w:tcPr>
            <w:tcW w:w="81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lang w:eastAsia="zh-CN"/>
              </w:rPr>
              <w:t>堤防整险及加固</w:t>
            </w:r>
          </w:p>
        </w:tc>
        <w:tc>
          <w:tcPr>
            <w:tcW w:w="5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lang w:eastAsia="zh-CN"/>
              </w:rPr>
              <w:t>防汛物资采购</w:t>
            </w:r>
          </w:p>
        </w:tc>
        <w:tc>
          <w:tcPr>
            <w:tcW w:w="61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防汛仓库维修</w:t>
            </w:r>
          </w:p>
        </w:tc>
        <w:tc>
          <w:tcPr>
            <w:tcW w:w="8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eastAsia="zh-CN"/>
              </w:rPr>
            </w:pPr>
            <w:r>
              <w:rPr>
                <w:rFonts w:hint="eastAsia" w:ascii="宋体" w:hAnsi="宋体" w:eastAsia="宋体" w:cs="宋体"/>
                <w:kern w:val="0"/>
                <w:sz w:val="20"/>
                <w:szCs w:val="20"/>
                <w:lang w:val="en-US" w:eastAsia="zh-CN"/>
              </w:rPr>
              <w:t>防汛抗旱业务管理</w:t>
            </w:r>
          </w:p>
        </w:tc>
      </w:tr>
      <w:tr>
        <w:tblPrEx>
          <w:tblLayout w:type="fixed"/>
          <w:tblCellMar>
            <w:top w:w="0" w:type="dxa"/>
            <w:left w:w="108" w:type="dxa"/>
            <w:bottom w:w="0" w:type="dxa"/>
            <w:right w:w="108" w:type="dxa"/>
          </w:tblCellMar>
        </w:tblPrEx>
        <w:trPr>
          <w:trHeight w:val="639" w:hRule="atLeast"/>
        </w:trPr>
        <w:tc>
          <w:tcPr>
            <w:tcW w:w="43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1</w:t>
            </w:r>
          </w:p>
        </w:tc>
        <w:tc>
          <w:tcPr>
            <w:tcW w:w="129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kern w:val="0"/>
                <w:sz w:val="20"/>
                <w:szCs w:val="20"/>
              </w:rPr>
            </w:pPr>
            <w:r>
              <w:rPr>
                <w:rFonts w:hint="eastAsia" w:ascii="宋体" w:hAnsi="宋体" w:eastAsia="宋体" w:cs="宋体"/>
                <w:i w:val="0"/>
                <w:color w:val="000000"/>
                <w:kern w:val="0"/>
                <w:sz w:val="20"/>
                <w:szCs w:val="20"/>
                <w:u w:val="none"/>
                <w:lang w:val="en-US" w:eastAsia="zh-CN" w:bidi="ar"/>
              </w:rPr>
              <w:t>设计费</w:t>
            </w:r>
          </w:p>
        </w:tc>
        <w:tc>
          <w:tcPr>
            <w:tcW w:w="78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104.47</w:t>
            </w:r>
          </w:p>
        </w:tc>
        <w:tc>
          <w:tcPr>
            <w:tcW w:w="863"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92" w:type="dxa"/>
            <w:gridSpan w:val="2"/>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3.05</w:t>
            </w:r>
          </w:p>
        </w:tc>
        <w:tc>
          <w:tcPr>
            <w:tcW w:w="1005"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240.80</w:t>
            </w:r>
          </w:p>
        </w:tc>
        <w:tc>
          <w:tcPr>
            <w:tcW w:w="87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66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1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54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615"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7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14.34</w:t>
            </w:r>
          </w:p>
        </w:tc>
      </w:tr>
      <w:tr>
        <w:tblPrEx>
          <w:tblLayout w:type="fixed"/>
          <w:tblCellMar>
            <w:top w:w="0" w:type="dxa"/>
            <w:left w:w="108" w:type="dxa"/>
            <w:bottom w:w="0" w:type="dxa"/>
            <w:right w:w="108" w:type="dxa"/>
          </w:tblCellMar>
        </w:tblPrEx>
        <w:trPr>
          <w:trHeight w:val="465" w:hRule="atLeast"/>
        </w:trPr>
        <w:tc>
          <w:tcPr>
            <w:tcW w:w="43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2</w:t>
            </w:r>
          </w:p>
        </w:tc>
        <w:tc>
          <w:tcPr>
            <w:tcW w:w="129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kern w:val="0"/>
                <w:sz w:val="20"/>
                <w:szCs w:val="20"/>
              </w:rPr>
            </w:pPr>
            <w:r>
              <w:rPr>
                <w:rFonts w:hint="eastAsia" w:ascii="宋体" w:hAnsi="宋体" w:eastAsia="宋体" w:cs="宋体"/>
                <w:i w:val="0"/>
                <w:color w:val="000000"/>
                <w:kern w:val="0"/>
                <w:sz w:val="20"/>
                <w:szCs w:val="20"/>
                <w:u w:val="none"/>
                <w:lang w:val="en-US" w:eastAsia="zh-CN" w:bidi="ar"/>
              </w:rPr>
              <w:t>工程款</w:t>
            </w:r>
          </w:p>
        </w:tc>
        <w:tc>
          <w:tcPr>
            <w:tcW w:w="78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181.96</w:t>
            </w:r>
          </w:p>
        </w:tc>
        <w:tc>
          <w:tcPr>
            <w:tcW w:w="863"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495.00</w:t>
            </w:r>
          </w:p>
        </w:tc>
        <w:tc>
          <w:tcPr>
            <w:tcW w:w="892" w:type="dxa"/>
            <w:gridSpan w:val="2"/>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18.29</w:t>
            </w:r>
          </w:p>
        </w:tc>
        <w:tc>
          <w:tcPr>
            <w:tcW w:w="1005"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2517.79</w:t>
            </w:r>
          </w:p>
        </w:tc>
        <w:tc>
          <w:tcPr>
            <w:tcW w:w="87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66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1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123.03</w:t>
            </w:r>
          </w:p>
        </w:tc>
        <w:tc>
          <w:tcPr>
            <w:tcW w:w="54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615"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43.4</w:t>
            </w:r>
          </w:p>
        </w:tc>
        <w:tc>
          <w:tcPr>
            <w:tcW w:w="87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175.63</w:t>
            </w:r>
          </w:p>
        </w:tc>
      </w:tr>
      <w:tr>
        <w:tblPrEx>
          <w:tblLayout w:type="fixed"/>
          <w:tblCellMar>
            <w:top w:w="0" w:type="dxa"/>
            <w:left w:w="108" w:type="dxa"/>
            <w:bottom w:w="0" w:type="dxa"/>
            <w:right w:w="108" w:type="dxa"/>
          </w:tblCellMar>
        </w:tblPrEx>
        <w:trPr>
          <w:trHeight w:val="465" w:hRule="atLeast"/>
        </w:trPr>
        <w:tc>
          <w:tcPr>
            <w:tcW w:w="43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3</w:t>
            </w:r>
          </w:p>
        </w:tc>
        <w:tc>
          <w:tcPr>
            <w:tcW w:w="129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kern w:val="0"/>
                <w:sz w:val="20"/>
                <w:szCs w:val="20"/>
              </w:rPr>
            </w:pPr>
            <w:r>
              <w:rPr>
                <w:rFonts w:hint="eastAsia" w:ascii="宋体" w:hAnsi="宋体" w:eastAsia="宋体" w:cs="宋体"/>
                <w:i w:val="0"/>
                <w:color w:val="000000"/>
                <w:kern w:val="0"/>
                <w:sz w:val="20"/>
                <w:szCs w:val="20"/>
                <w:u w:val="none"/>
                <w:lang w:val="en-US" w:eastAsia="zh-CN" w:bidi="ar"/>
              </w:rPr>
              <w:t>监理费</w:t>
            </w:r>
          </w:p>
        </w:tc>
        <w:tc>
          <w:tcPr>
            <w:tcW w:w="78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kern w:val="0"/>
                <w:sz w:val="18"/>
                <w:szCs w:val="18"/>
              </w:rPr>
            </w:pPr>
          </w:p>
        </w:tc>
        <w:tc>
          <w:tcPr>
            <w:tcW w:w="863"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w:t>
            </w:r>
          </w:p>
        </w:tc>
        <w:tc>
          <w:tcPr>
            <w:tcW w:w="892" w:type="dxa"/>
            <w:gridSpan w:val="2"/>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1005"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62.94</w:t>
            </w:r>
          </w:p>
        </w:tc>
        <w:tc>
          <w:tcPr>
            <w:tcW w:w="87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66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1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4.60</w:t>
            </w:r>
          </w:p>
        </w:tc>
        <w:tc>
          <w:tcPr>
            <w:tcW w:w="54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615"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11.6</w:t>
            </w:r>
          </w:p>
        </w:tc>
        <w:tc>
          <w:tcPr>
            <w:tcW w:w="87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8.55</w:t>
            </w:r>
          </w:p>
        </w:tc>
      </w:tr>
      <w:tr>
        <w:tblPrEx>
          <w:tblLayout w:type="fixed"/>
          <w:tblCellMar>
            <w:top w:w="0" w:type="dxa"/>
            <w:left w:w="108" w:type="dxa"/>
            <w:bottom w:w="0" w:type="dxa"/>
            <w:right w:w="108" w:type="dxa"/>
          </w:tblCellMar>
        </w:tblPrEx>
        <w:trPr>
          <w:trHeight w:val="465" w:hRule="atLeast"/>
        </w:trPr>
        <w:tc>
          <w:tcPr>
            <w:tcW w:w="43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4</w:t>
            </w:r>
          </w:p>
        </w:tc>
        <w:tc>
          <w:tcPr>
            <w:tcW w:w="129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监测费</w:t>
            </w:r>
          </w:p>
        </w:tc>
        <w:tc>
          <w:tcPr>
            <w:tcW w:w="78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12.08</w:t>
            </w:r>
          </w:p>
        </w:tc>
        <w:tc>
          <w:tcPr>
            <w:tcW w:w="863"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92" w:type="dxa"/>
            <w:gridSpan w:val="2"/>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10.99</w:t>
            </w:r>
          </w:p>
        </w:tc>
        <w:tc>
          <w:tcPr>
            <w:tcW w:w="1005"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7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66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1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54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615"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7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465" w:hRule="atLeast"/>
        </w:trPr>
        <w:tc>
          <w:tcPr>
            <w:tcW w:w="43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5</w:t>
            </w:r>
          </w:p>
        </w:tc>
        <w:tc>
          <w:tcPr>
            <w:tcW w:w="129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审计费</w:t>
            </w:r>
          </w:p>
        </w:tc>
        <w:tc>
          <w:tcPr>
            <w:tcW w:w="78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63"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92" w:type="dxa"/>
            <w:gridSpan w:val="2"/>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8.02</w:t>
            </w:r>
          </w:p>
        </w:tc>
        <w:tc>
          <w:tcPr>
            <w:tcW w:w="1005"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7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66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1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2.09</w:t>
            </w:r>
          </w:p>
        </w:tc>
        <w:tc>
          <w:tcPr>
            <w:tcW w:w="54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615"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7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1.24</w:t>
            </w:r>
          </w:p>
        </w:tc>
      </w:tr>
      <w:tr>
        <w:tblPrEx>
          <w:tblLayout w:type="fixed"/>
          <w:tblCellMar>
            <w:top w:w="0" w:type="dxa"/>
            <w:left w:w="108" w:type="dxa"/>
            <w:bottom w:w="0" w:type="dxa"/>
            <w:right w:w="108" w:type="dxa"/>
          </w:tblCellMar>
        </w:tblPrEx>
        <w:trPr>
          <w:trHeight w:val="465" w:hRule="atLeast"/>
        </w:trPr>
        <w:tc>
          <w:tcPr>
            <w:tcW w:w="43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6</w:t>
            </w:r>
          </w:p>
        </w:tc>
        <w:tc>
          <w:tcPr>
            <w:tcW w:w="129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建设管理费</w:t>
            </w:r>
          </w:p>
        </w:tc>
        <w:tc>
          <w:tcPr>
            <w:tcW w:w="78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63"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92" w:type="dxa"/>
            <w:gridSpan w:val="2"/>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1005"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136.17</w:t>
            </w:r>
          </w:p>
        </w:tc>
        <w:tc>
          <w:tcPr>
            <w:tcW w:w="87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245.17</w:t>
            </w:r>
          </w:p>
        </w:tc>
        <w:tc>
          <w:tcPr>
            <w:tcW w:w="66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1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2.32</w:t>
            </w:r>
          </w:p>
        </w:tc>
        <w:tc>
          <w:tcPr>
            <w:tcW w:w="54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615"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7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465" w:hRule="atLeast"/>
        </w:trPr>
        <w:tc>
          <w:tcPr>
            <w:tcW w:w="43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7</w:t>
            </w:r>
          </w:p>
        </w:tc>
        <w:tc>
          <w:tcPr>
            <w:tcW w:w="129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临时征地费</w:t>
            </w:r>
          </w:p>
        </w:tc>
        <w:tc>
          <w:tcPr>
            <w:tcW w:w="78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63"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92" w:type="dxa"/>
            <w:gridSpan w:val="2"/>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1005"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44.31</w:t>
            </w:r>
          </w:p>
        </w:tc>
        <w:tc>
          <w:tcPr>
            <w:tcW w:w="87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66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1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54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615"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7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465" w:hRule="atLeast"/>
        </w:trPr>
        <w:tc>
          <w:tcPr>
            <w:tcW w:w="43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8</w:t>
            </w:r>
          </w:p>
        </w:tc>
        <w:tc>
          <w:tcPr>
            <w:tcW w:w="129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kern w:val="0"/>
                <w:sz w:val="20"/>
                <w:szCs w:val="20"/>
                <w:lang w:eastAsia="zh-CN"/>
              </w:rPr>
            </w:pPr>
            <w:r>
              <w:rPr>
                <w:rFonts w:hint="eastAsia" w:ascii="宋体" w:hAnsi="宋体" w:eastAsia="宋体" w:cs="宋体"/>
                <w:i w:val="0"/>
                <w:color w:val="000000"/>
                <w:kern w:val="0"/>
                <w:sz w:val="20"/>
                <w:szCs w:val="20"/>
                <w:u w:val="none"/>
                <w:lang w:val="en-US" w:eastAsia="zh-CN" w:bidi="ar"/>
              </w:rPr>
              <w:t>水电费</w:t>
            </w:r>
          </w:p>
        </w:tc>
        <w:tc>
          <w:tcPr>
            <w:tcW w:w="78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63"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92" w:type="dxa"/>
            <w:gridSpan w:val="2"/>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1005"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lang w:val="en-US" w:eastAsia="zh-CN"/>
              </w:rPr>
            </w:pPr>
          </w:p>
        </w:tc>
        <w:tc>
          <w:tcPr>
            <w:tcW w:w="87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66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2.29</w:t>
            </w:r>
          </w:p>
        </w:tc>
        <w:tc>
          <w:tcPr>
            <w:tcW w:w="81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54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615"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7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465" w:hRule="atLeast"/>
        </w:trPr>
        <w:tc>
          <w:tcPr>
            <w:tcW w:w="43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9</w:t>
            </w:r>
          </w:p>
        </w:tc>
        <w:tc>
          <w:tcPr>
            <w:tcW w:w="129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kern w:val="0"/>
                <w:sz w:val="20"/>
                <w:szCs w:val="20"/>
                <w:lang w:eastAsia="zh-CN"/>
              </w:rPr>
            </w:pPr>
            <w:r>
              <w:rPr>
                <w:rFonts w:hint="eastAsia" w:ascii="宋体" w:hAnsi="宋体" w:eastAsia="宋体" w:cs="宋体"/>
                <w:i w:val="0"/>
                <w:color w:val="000000"/>
                <w:kern w:val="0"/>
                <w:sz w:val="20"/>
                <w:szCs w:val="20"/>
                <w:u w:val="none"/>
                <w:lang w:val="en-US" w:eastAsia="zh-CN" w:bidi="ar"/>
              </w:rPr>
              <w:t>办公及邮电通讯费</w:t>
            </w:r>
          </w:p>
        </w:tc>
        <w:tc>
          <w:tcPr>
            <w:tcW w:w="78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63"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92" w:type="dxa"/>
            <w:gridSpan w:val="2"/>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1005"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lang w:val="en-US" w:eastAsia="zh-CN"/>
              </w:rPr>
            </w:pPr>
          </w:p>
        </w:tc>
        <w:tc>
          <w:tcPr>
            <w:tcW w:w="87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66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7.85</w:t>
            </w:r>
          </w:p>
        </w:tc>
        <w:tc>
          <w:tcPr>
            <w:tcW w:w="81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54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615"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7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465" w:hRule="atLeast"/>
        </w:trPr>
        <w:tc>
          <w:tcPr>
            <w:tcW w:w="43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10</w:t>
            </w:r>
          </w:p>
        </w:tc>
        <w:tc>
          <w:tcPr>
            <w:tcW w:w="129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kern w:val="0"/>
                <w:sz w:val="20"/>
                <w:szCs w:val="20"/>
                <w:lang w:eastAsia="zh-CN"/>
              </w:rPr>
            </w:pPr>
            <w:r>
              <w:rPr>
                <w:rFonts w:hint="eastAsia" w:ascii="宋体" w:hAnsi="宋体" w:eastAsia="宋体" w:cs="宋体"/>
                <w:i w:val="0"/>
                <w:color w:val="000000"/>
                <w:kern w:val="0"/>
                <w:sz w:val="20"/>
                <w:szCs w:val="20"/>
                <w:u w:val="none"/>
                <w:lang w:val="en-US" w:eastAsia="zh-CN" w:bidi="ar"/>
              </w:rPr>
              <w:t>车辆维修及保险</w:t>
            </w:r>
          </w:p>
        </w:tc>
        <w:tc>
          <w:tcPr>
            <w:tcW w:w="78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63"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92" w:type="dxa"/>
            <w:gridSpan w:val="2"/>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1005"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lang w:val="en-US" w:eastAsia="zh-CN"/>
              </w:rPr>
            </w:pPr>
          </w:p>
        </w:tc>
        <w:tc>
          <w:tcPr>
            <w:tcW w:w="87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66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4.00</w:t>
            </w:r>
          </w:p>
        </w:tc>
        <w:tc>
          <w:tcPr>
            <w:tcW w:w="81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54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615"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7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465" w:hRule="atLeast"/>
        </w:trPr>
        <w:tc>
          <w:tcPr>
            <w:tcW w:w="43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11</w:t>
            </w:r>
          </w:p>
        </w:tc>
        <w:tc>
          <w:tcPr>
            <w:tcW w:w="129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kern w:val="0"/>
                <w:sz w:val="20"/>
                <w:szCs w:val="20"/>
                <w:lang w:eastAsia="zh-CN"/>
              </w:rPr>
            </w:pPr>
            <w:r>
              <w:rPr>
                <w:rFonts w:hint="eastAsia" w:ascii="宋体" w:hAnsi="宋体" w:eastAsia="宋体" w:cs="宋体"/>
                <w:i w:val="0"/>
                <w:color w:val="000000"/>
                <w:kern w:val="0"/>
                <w:sz w:val="20"/>
                <w:szCs w:val="20"/>
                <w:u w:val="none"/>
                <w:lang w:val="en-US" w:eastAsia="zh-CN" w:bidi="ar"/>
              </w:rPr>
              <w:t>物业费</w:t>
            </w:r>
          </w:p>
        </w:tc>
        <w:tc>
          <w:tcPr>
            <w:tcW w:w="78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63"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92" w:type="dxa"/>
            <w:gridSpan w:val="2"/>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1005"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lang w:val="en-US" w:eastAsia="zh-CN"/>
              </w:rPr>
            </w:pPr>
          </w:p>
        </w:tc>
        <w:tc>
          <w:tcPr>
            <w:tcW w:w="87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66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9.60</w:t>
            </w:r>
          </w:p>
        </w:tc>
        <w:tc>
          <w:tcPr>
            <w:tcW w:w="81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54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615"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7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465" w:hRule="atLeast"/>
        </w:trPr>
        <w:tc>
          <w:tcPr>
            <w:tcW w:w="43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12</w:t>
            </w:r>
          </w:p>
        </w:tc>
        <w:tc>
          <w:tcPr>
            <w:tcW w:w="129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kern w:val="0"/>
                <w:sz w:val="20"/>
                <w:szCs w:val="20"/>
                <w:lang w:eastAsia="zh-CN"/>
              </w:rPr>
            </w:pPr>
            <w:r>
              <w:rPr>
                <w:rFonts w:hint="eastAsia" w:ascii="宋体" w:hAnsi="宋体" w:eastAsia="宋体" w:cs="宋体"/>
                <w:i w:val="0"/>
                <w:color w:val="000000"/>
                <w:kern w:val="0"/>
                <w:sz w:val="20"/>
                <w:szCs w:val="20"/>
                <w:u w:val="none"/>
                <w:lang w:val="en-US" w:eastAsia="zh-CN" w:bidi="ar"/>
              </w:rPr>
              <w:t>防汛备料、维修、晾晒等</w:t>
            </w:r>
          </w:p>
        </w:tc>
        <w:tc>
          <w:tcPr>
            <w:tcW w:w="78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63"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92" w:type="dxa"/>
            <w:gridSpan w:val="2"/>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1005"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lang w:val="en-US" w:eastAsia="zh-CN"/>
              </w:rPr>
            </w:pPr>
          </w:p>
        </w:tc>
        <w:tc>
          <w:tcPr>
            <w:tcW w:w="87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66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90.78</w:t>
            </w:r>
          </w:p>
        </w:tc>
        <w:tc>
          <w:tcPr>
            <w:tcW w:w="81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54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615"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7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465" w:hRule="atLeast"/>
        </w:trPr>
        <w:tc>
          <w:tcPr>
            <w:tcW w:w="43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13</w:t>
            </w:r>
          </w:p>
        </w:tc>
        <w:tc>
          <w:tcPr>
            <w:tcW w:w="129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kern w:val="0"/>
                <w:sz w:val="20"/>
                <w:szCs w:val="20"/>
                <w:lang w:eastAsia="zh-CN"/>
              </w:rPr>
            </w:pPr>
            <w:r>
              <w:rPr>
                <w:rFonts w:hint="eastAsia" w:ascii="宋体" w:hAnsi="宋体" w:eastAsia="宋体" w:cs="宋体"/>
                <w:i w:val="0"/>
                <w:color w:val="000000"/>
                <w:kern w:val="0"/>
                <w:sz w:val="20"/>
                <w:szCs w:val="20"/>
                <w:u w:val="none"/>
                <w:lang w:val="en-US" w:eastAsia="zh-CN" w:bidi="ar"/>
              </w:rPr>
              <w:t>消防</w:t>
            </w:r>
          </w:p>
        </w:tc>
        <w:tc>
          <w:tcPr>
            <w:tcW w:w="78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63"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92" w:type="dxa"/>
            <w:gridSpan w:val="2"/>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1005"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lang w:val="en-US" w:eastAsia="zh-CN"/>
              </w:rPr>
            </w:pPr>
          </w:p>
        </w:tc>
        <w:tc>
          <w:tcPr>
            <w:tcW w:w="87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66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0.49</w:t>
            </w:r>
          </w:p>
        </w:tc>
        <w:tc>
          <w:tcPr>
            <w:tcW w:w="81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54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615"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7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465" w:hRule="atLeast"/>
        </w:trPr>
        <w:tc>
          <w:tcPr>
            <w:tcW w:w="43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14</w:t>
            </w:r>
          </w:p>
        </w:tc>
        <w:tc>
          <w:tcPr>
            <w:tcW w:w="129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物资采购</w:t>
            </w:r>
          </w:p>
        </w:tc>
        <w:tc>
          <w:tcPr>
            <w:tcW w:w="78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63"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92" w:type="dxa"/>
            <w:gridSpan w:val="2"/>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1005"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lang w:val="en-US" w:eastAsia="zh-CN"/>
              </w:rPr>
            </w:pPr>
          </w:p>
        </w:tc>
        <w:tc>
          <w:tcPr>
            <w:tcW w:w="87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66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1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54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200</w:t>
            </w:r>
          </w:p>
        </w:tc>
        <w:tc>
          <w:tcPr>
            <w:tcW w:w="615"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7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465" w:hRule="atLeast"/>
        </w:trPr>
        <w:tc>
          <w:tcPr>
            <w:tcW w:w="4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15</w:t>
            </w:r>
          </w:p>
        </w:tc>
        <w:tc>
          <w:tcPr>
            <w:tcW w:w="129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环评费</w:t>
            </w:r>
          </w:p>
        </w:tc>
        <w:tc>
          <w:tcPr>
            <w:tcW w:w="78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64" w:type="dxa"/>
            <w:gridSpan w:val="2"/>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91"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1005"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7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66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1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54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615"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p>
        </w:tc>
        <w:tc>
          <w:tcPr>
            <w:tcW w:w="87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0.26</w:t>
            </w:r>
          </w:p>
        </w:tc>
      </w:tr>
      <w:tr>
        <w:tblPrEx>
          <w:tblLayout w:type="fixed"/>
          <w:tblCellMar>
            <w:top w:w="0" w:type="dxa"/>
            <w:left w:w="108" w:type="dxa"/>
            <w:bottom w:w="0" w:type="dxa"/>
            <w:right w:w="108" w:type="dxa"/>
          </w:tblCellMar>
        </w:tblPrEx>
        <w:trPr>
          <w:trHeight w:val="465" w:hRule="atLeast"/>
        </w:trPr>
        <w:tc>
          <w:tcPr>
            <w:tcW w:w="17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合计</w:t>
            </w:r>
          </w:p>
        </w:tc>
        <w:tc>
          <w:tcPr>
            <w:tcW w:w="78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r>
              <w:rPr>
                <w:rFonts w:hint="eastAsia" w:ascii="宋体" w:hAnsi="宋体" w:eastAsia="宋体" w:cs="宋体"/>
                <w:bCs/>
                <w:sz w:val="18"/>
                <w:szCs w:val="18"/>
                <w:lang w:val="en-US" w:eastAsia="zh-CN"/>
              </w:rPr>
              <w:t>298.51</w:t>
            </w:r>
          </w:p>
        </w:tc>
        <w:tc>
          <w:tcPr>
            <w:tcW w:w="864" w:type="dxa"/>
            <w:gridSpan w:val="2"/>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w:t>
            </w:r>
          </w:p>
        </w:tc>
        <w:tc>
          <w:tcPr>
            <w:tcW w:w="891"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r>
              <w:rPr>
                <w:rFonts w:hint="eastAsia" w:ascii="宋体" w:hAnsi="宋体" w:eastAsia="宋体" w:cs="宋体"/>
                <w:bCs/>
                <w:sz w:val="18"/>
                <w:szCs w:val="18"/>
                <w:lang w:val="en-US" w:eastAsia="zh-CN"/>
              </w:rPr>
              <w:t>40.36</w:t>
            </w:r>
          </w:p>
        </w:tc>
        <w:tc>
          <w:tcPr>
            <w:tcW w:w="1005"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3000</w:t>
            </w:r>
          </w:p>
        </w:tc>
        <w:tc>
          <w:tcPr>
            <w:tcW w:w="87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r>
              <w:rPr>
                <w:rFonts w:hint="eastAsia" w:ascii="宋体" w:hAnsi="宋体" w:eastAsia="宋体" w:cs="宋体"/>
                <w:bCs/>
                <w:sz w:val="18"/>
                <w:szCs w:val="18"/>
                <w:lang w:val="en-US" w:eastAsia="zh-CN"/>
              </w:rPr>
              <w:t>245.17</w:t>
            </w:r>
          </w:p>
        </w:tc>
        <w:tc>
          <w:tcPr>
            <w:tcW w:w="66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r>
              <w:rPr>
                <w:rFonts w:hint="eastAsia" w:ascii="宋体" w:hAnsi="宋体" w:eastAsia="宋体" w:cs="宋体"/>
                <w:bCs/>
                <w:sz w:val="18"/>
                <w:szCs w:val="18"/>
                <w:lang w:val="en-US" w:eastAsia="zh-CN"/>
              </w:rPr>
              <w:t>115</w:t>
            </w:r>
          </w:p>
        </w:tc>
        <w:tc>
          <w:tcPr>
            <w:tcW w:w="81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r>
              <w:rPr>
                <w:rFonts w:hint="eastAsia" w:ascii="宋体" w:hAnsi="宋体" w:eastAsia="宋体" w:cs="宋体"/>
                <w:bCs/>
                <w:sz w:val="18"/>
                <w:szCs w:val="18"/>
                <w:lang w:val="en-US" w:eastAsia="zh-CN"/>
              </w:rPr>
              <w:t>132.04</w:t>
            </w:r>
          </w:p>
        </w:tc>
        <w:tc>
          <w:tcPr>
            <w:tcW w:w="54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r>
              <w:rPr>
                <w:rFonts w:hint="eastAsia" w:ascii="宋体" w:hAnsi="宋体" w:eastAsia="宋体" w:cs="宋体"/>
                <w:bCs/>
                <w:sz w:val="18"/>
                <w:szCs w:val="18"/>
                <w:lang w:val="en-US" w:eastAsia="zh-CN"/>
              </w:rPr>
              <w:t>200</w:t>
            </w:r>
          </w:p>
        </w:tc>
        <w:tc>
          <w:tcPr>
            <w:tcW w:w="615"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rPr>
            </w:pPr>
            <w:r>
              <w:rPr>
                <w:rFonts w:hint="eastAsia" w:ascii="宋体" w:hAnsi="宋体" w:eastAsia="宋体" w:cs="宋体"/>
                <w:bCs/>
                <w:sz w:val="18"/>
                <w:szCs w:val="18"/>
                <w:lang w:val="en-US" w:eastAsia="zh-CN"/>
              </w:rPr>
              <w:t>55</w:t>
            </w:r>
          </w:p>
        </w:tc>
        <w:tc>
          <w:tcPr>
            <w:tcW w:w="87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200.02</w:t>
            </w:r>
          </w:p>
        </w:tc>
      </w:tr>
    </w:tbl>
    <w:p>
      <w:pPr>
        <w:spacing w:line="520" w:lineRule="exact"/>
        <w:ind w:firstLine="562" w:firstLineChars="200"/>
        <w:outlineLvl w:val="0"/>
        <w:rPr>
          <w:rFonts w:ascii="黑体" w:hAnsi="黑体" w:eastAsia="黑体" w:cs="黑体"/>
          <w:b/>
          <w:bCs/>
          <w:sz w:val="28"/>
          <w:szCs w:val="28"/>
        </w:rPr>
      </w:pPr>
      <w:bookmarkStart w:id="8" w:name="_Toc7334"/>
      <w:bookmarkStart w:id="9" w:name="_Toc517708013"/>
      <w:bookmarkStart w:id="10" w:name="_Toc511502532"/>
      <w:r>
        <w:rPr>
          <w:rFonts w:hint="eastAsia" w:ascii="黑体" w:hAnsi="黑体" w:eastAsia="黑体" w:cs="黑体"/>
          <w:b/>
          <w:bCs/>
          <w:sz w:val="28"/>
          <w:szCs w:val="28"/>
        </w:rPr>
        <w:t>二、绩效评价工作情况</w:t>
      </w:r>
      <w:bookmarkEnd w:id="8"/>
      <w:bookmarkEnd w:id="9"/>
      <w:bookmarkEnd w:id="10"/>
    </w:p>
    <w:p>
      <w:pPr>
        <w:spacing w:line="560" w:lineRule="exact"/>
        <w:ind w:firstLine="560" w:firstLineChars="200"/>
        <w:outlineLvl w:val="1"/>
        <w:rPr>
          <w:rFonts w:ascii="仿宋" w:hAnsi="仿宋" w:eastAsia="仿宋"/>
          <w:sz w:val="28"/>
          <w:szCs w:val="28"/>
        </w:rPr>
      </w:pPr>
      <w:bookmarkStart w:id="11" w:name="_Toc19011"/>
      <w:bookmarkStart w:id="12" w:name="_Toc517708014"/>
      <w:bookmarkStart w:id="13" w:name="_Toc511502533"/>
      <w:r>
        <w:rPr>
          <w:rFonts w:hint="eastAsia" w:ascii="仿宋" w:hAnsi="仿宋" w:eastAsia="仿宋"/>
          <w:sz w:val="28"/>
          <w:szCs w:val="28"/>
        </w:rPr>
        <w:t>（一）绩效评价目的</w:t>
      </w:r>
      <w:bookmarkEnd w:id="11"/>
      <w:bookmarkEnd w:id="12"/>
      <w:bookmarkEnd w:id="13"/>
    </w:p>
    <w:p>
      <w:pPr>
        <w:spacing w:line="520" w:lineRule="exact"/>
        <w:ind w:firstLine="560" w:firstLineChars="200"/>
        <w:rPr>
          <w:rFonts w:ascii="仿宋" w:hAnsi="仿宋" w:eastAsia="仿宋"/>
          <w:sz w:val="28"/>
          <w:szCs w:val="28"/>
        </w:rPr>
      </w:pPr>
      <w:r>
        <w:rPr>
          <w:rFonts w:hint="eastAsia" w:ascii="仿宋" w:hAnsi="仿宋" w:eastAsia="仿宋"/>
          <w:sz w:val="28"/>
          <w:szCs w:val="28"/>
        </w:rPr>
        <w:t>通过绩效评价，形成真实完整、数据准确、分析透彻、逻辑清晰、客观公正的绩效评价结论，为后期武汉市水务局强化预算绩效管理提供重要依据。通过绩效评价，从效率的角度分析，准确掌握</w:t>
      </w:r>
      <w:r>
        <w:rPr>
          <w:rFonts w:hint="eastAsia" w:ascii="仿宋" w:hAnsi="仿宋" w:eastAsia="仿宋"/>
          <w:bCs/>
          <w:sz w:val="28"/>
          <w:szCs w:val="28"/>
        </w:rPr>
        <w:t>项目</w:t>
      </w:r>
      <w:r>
        <w:rPr>
          <w:rFonts w:hint="eastAsia" w:ascii="仿宋" w:hAnsi="仿宋" w:eastAsia="仿宋"/>
          <w:sz w:val="28"/>
          <w:szCs w:val="28"/>
        </w:rPr>
        <w:t>的实施情况、资金使用情况，发现项目实施的困难和问题，总结项目实施的经验和教训，为项目实施的进一步深化提供有益帮助。</w:t>
      </w:r>
    </w:p>
    <w:p>
      <w:pPr>
        <w:spacing w:line="520" w:lineRule="exact"/>
        <w:ind w:firstLine="560" w:firstLineChars="200"/>
        <w:outlineLvl w:val="1"/>
        <w:rPr>
          <w:rFonts w:ascii="仿宋" w:hAnsi="仿宋" w:eastAsia="仿宋"/>
          <w:sz w:val="28"/>
          <w:szCs w:val="28"/>
        </w:rPr>
      </w:pPr>
      <w:bookmarkStart w:id="14" w:name="_Toc517708015"/>
      <w:bookmarkStart w:id="15" w:name="_Toc511502534"/>
      <w:bookmarkStart w:id="16" w:name="_Toc30201"/>
      <w:r>
        <w:rPr>
          <w:rFonts w:hint="eastAsia" w:ascii="仿宋" w:hAnsi="仿宋" w:eastAsia="仿宋"/>
          <w:sz w:val="28"/>
          <w:szCs w:val="28"/>
        </w:rPr>
        <w:t>（二）绩效评价框架</w:t>
      </w:r>
      <w:bookmarkEnd w:id="14"/>
      <w:bookmarkEnd w:id="15"/>
      <w:bookmarkEnd w:id="16"/>
    </w:p>
    <w:p>
      <w:pPr>
        <w:spacing w:line="520" w:lineRule="exact"/>
        <w:ind w:firstLine="560" w:firstLineChars="200"/>
        <w:rPr>
          <w:rFonts w:ascii="仿宋" w:hAnsi="仿宋" w:eastAsia="仿宋"/>
          <w:sz w:val="28"/>
          <w:szCs w:val="28"/>
        </w:rPr>
      </w:pPr>
      <w:r>
        <w:rPr>
          <w:rFonts w:hint="eastAsia" w:ascii="仿宋" w:hAnsi="仿宋" w:eastAsia="仿宋"/>
          <w:sz w:val="28"/>
          <w:szCs w:val="28"/>
        </w:rPr>
        <w:t>绩效评价框架是开展绩效评价的核心，绩效评价框架包括各级指标名称、权重、指标解释、指标说明、目标值、绩效标准和评分细则等方面。</w:t>
      </w:r>
      <w:r>
        <w:rPr>
          <w:rFonts w:hint="eastAsia" w:ascii="仿宋" w:hAnsi="仿宋" w:eastAsia="仿宋"/>
          <w:bCs/>
          <w:sz w:val="28"/>
          <w:szCs w:val="28"/>
        </w:rPr>
        <w:t>项目</w:t>
      </w:r>
      <w:r>
        <w:rPr>
          <w:rFonts w:hint="eastAsia" w:ascii="仿宋" w:hAnsi="仿宋" w:eastAsia="仿宋"/>
          <w:sz w:val="28"/>
          <w:szCs w:val="28"/>
        </w:rPr>
        <w:t>绩效评价指标体系的设计参照《湖北省财政支出绩效评价指标体系框架》，投入和过程在此框架的基础上结合项目的特点适当进行完善，产出和效果根据项目特点进行了细化。</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1.评价指标</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第一步，采用层次分析法，建立评价指标库。绩效评价将指标分为投入、过程、产出和效果四个层次，最终形成一个由多个相互联系的指标组成的多层次指标体系。</w:t>
      </w:r>
      <w:r>
        <w:rPr>
          <w:rFonts w:hint="eastAsia" w:ascii="仿宋" w:hAnsi="仿宋" w:eastAsia="仿宋"/>
          <w:sz w:val="28"/>
          <w:szCs w:val="28"/>
        </w:rPr>
        <mc:AlternateContent>
          <mc:Choice Requires="wps">
            <w:drawing>
              <wp:anchor distT="0" distB="0" distL="114300" distR="114300" simplePos="0" relativeHeight="251659264" behindDoc="0" locked="0" layoutInCell="1" allowOverlap="1">
                <wp:simplePos x="0" y="0"/>
                <wp:positionH relativeFrom="column">
                  <wp:posOffset>-3400425</wp:posOffset>
                </wp:positionH>
                <wp:positionV relativeFrom="paragraph">
                  <wp:posOffset>152400</wp:posOffset>
                </wp:positionV>
                <wp:extent cx="76200" cy="3962400"/>
                <wp:effectExtent l="4445" t="4445" r="14605" b="14605"/>
                <wp:wrapNone/>
                <wp:docPr id="2" name="AutoShape 48"/>
                <wp:cNvGraphicFramePr/>
                <a:graphic xmlns:a="http://schemas.openxmlformats.org/drawingml/2006/main">
                  <a:graphicData uri="http://schemas.microsoft.com/office/word/2010/wordprocessingShape">
                    <wps:wsp>
                      <wps:cNvSpPr/>
                      <wps:spPr>
                        <a:xfrm>
                          <a:off x="0" y="0"/>
                          <a:ext cx="76200" cy="3962400"/>
                        </a:xfrm>
                        <a:prstGeom prst="leftBrace">
                          <a:avLst>
                            <a:gd name="adj1" fmla="val 433333"/>
                            <a:gd name="adj2" fmla="val 51620"/>
                          </a:avLst>
                        </a:prstGeom>
                        <a:noFill/>
                        <a:ln w="9525" cap="flat" cmpd="sng">
                          <a:solidFill>
                            <a:srgbClr val="000000"/>
                          </a:solidFill>
                          <a:prstDash val="solid"/>
                          <a:headEnd type="none" w="med" len="med"/>
                          <a:tailEnd type="none" w="med" len="med"/>
                        </a:ln>
                      </wps:spPr>
                      <wps:bodyPr upright="1"/>
                    </wps:wsp>
                  </a:graphicData>
                </a:graphic>
              </wp:anchor>
            </w:drawing>
          </mc:Choice>
          <mc:Fallback>
            <w:pict>
              <v:shape id="AutoShape 48" o:spid="_x0000_s1026" o:spt="87" type="#_x0000_t87" style="position:absolute;left:0pt;margin-left:-267.75pt;margin-top:12pt;height:312pt;width:6pt;z-index:251659264;mso-width-relative:page;mso-height-relative:page;" filled="f" stroked="t" coordsize="21600,21600" o:gfxdata="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Vfbv02wAAAAwBAAAPAAAAAAAAAAEAIAAAACIAAABkcnMvZG93bnJldi54bWxQSwEC&#10;FAAUAAAACACHTuJAhwOp6/EBAAD3AwAADgAAAAAAAAABACAAAAAqAQAAZHJzL2Uyb0RvYy54bWxQ&#10;SwUGAAAAAAYABgBZAQAAjQUAAAAA&#10;" adj="1799,11150">
                <v:fill on="f" focussize="0,0"/>
                <v:stroke color="#000000" joinstyle="round"/>
                <v:imagedata o:title=""/>
                <o:lock v:ext="edit" aspectratio="f"/>
              </v:shape>
            </w:pict>
          </mc:Fallback>
        </mc:AlternateContent>
      </w:r>
      <w:r>
        <w:rPr>
          <w:rFonts w:hint="eastAsia" w:ascii="仿宋" w:hAnsi="仿宋" w:eastAsia="仿宋"/>
          <w:sz w:val="28"/>
          <w:szCs w:val="28"/>
        </w:rPr>
        <w:t>第二步，采用专家调查法，确定评价指标。评价指标体系建立后，邀请专家对指标库中的指标进行分析、权衡、补充、选择，最后确定评价指标。在此基础上最终形成项目绩效评价指标体系，设置了4个一级指标、11个二级指标、19个三级指标。</w:t>
      </w:r>
    </w:p>
    <w:p>
      <w:pPr>
        <w:tabs>
          <w:tab w:val="center" w:pos="4549"/>
        </w:tabs>
        <w:spacing w:line="360" w:lineRule="auto"/>
        <w:ind w:firstLine="700" w:firstLineChars="250"/>
        <w:jc w:val="left"/>
        <w:rPr>
          <w:rFonts w:ascii="仿宋" w:hAnsi="仿宋" w:eastAsia="仿宋"/>
          <w:sz w:val="28"/>
          <w:szCs w:val="28"/>
        </w:rPr>
      </w:pPr>
      <w:r>
        <w:rPr>
          <w:rFonts w:hint="eastAsia" w:ascii="宋体" w:hAnsi="宋体"/>
          <w:sz w:val="28"/>
          <w:szCs w:val="28"/>
        </w:rPr>
        <w:t>2.</w:t>
      </w:r>
      <w:r>
        <w:rPr>
          <w:rFonts w:hint="eastAsia" w:ascii="仿宋" w:hAnsi="仿宋" w:eastAsia="仿宋"/>
          <w:sz w:val="28"/>
          <w:szCs w:val="28"/>
        </w:rPr>
        <w:t>权重</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根据本项目特点及各指标维度、类别考评内容，采用德尔菲法进行权重估计，并参考了评价领导小组及项目实施单位的意见，最终确定各个指标相对于项目总体绩效的权重分值。最终确的项目投入权重为12%，项目过程权重值占28%，项目产出权重值占30%，项目效益权重值占30%。</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3.指标说明</w:t>
      </w:r>
    </w:p>
    <w:p>
      <w:pPr>
        <w:spacing w:line="520" w:lineRule="exact"/>
        <w:ind w:firstLine="560" w:firstLineChars="200"/>
        <w:rPr>
          <w:rFonts w:ascii="仿宋" w:hAnsi="仿宋" w:eastAsia="仿宋"/>
          <w:sz w:val="28"/>
          <w:szCs w:val="28"/>
        </w:rPr>
      </w:pPr>
      <w:r>
        <w:rPr>
          <w:rFonts w:hint="eastAsia" w:ascii="仿宋" w:hAnsi="仿宋" w:eastAsia="仿宋"/>
          <w:bCs/>
          <w:sz w:val="28"/>
          <w:szCs w:val="28"/>
        </w:rPr>
        <w:t>项目</w:t>
      </w:r>
      <w:r>
        <w:rPr>
          <w:rFonts w:hint="eastAsia" w:ascii="仿宋" w:hAnsi="仿宋" w:eastAsia="仿宋"/>
          <w:sz w:val="28"/>
          <w:szCs w:val="28"/>
        </w:rPr>
        <w:t>绩效评价指标体系指标说明确定了三级指标评分的要点，指出定性指标的评价核心，定量指标的指标实现值的计算公式、数据口径，说明了19个三级指标设置的目的，指导三级指标评价的方向。</w:t>
      </w:r>
    </w:p>
    <w:p>
      <w:pPr>
        <w:spacing w:line="520" w:lineRule="exact"/>
        <w:ind w:firstLine="560" w:firstLineChars="200"/>
        <w:rPr>
          <w:rFonts w:ascii="仿宋" w:hAnsi="仿宋" w:eastAsia="仿宋"/>
          <w:sz w:val="28"/>
          <w:szCs w:val="28"/>
        </w:rPr>
      </w:pPr>
      <w:bookmarkStart w:id="17" w:name="_1460038730"/>
      <w:bookmarkEnd w:id="17"/>
      <w:bookmarkStart w:id="18" w:name="_1460181815"/>
      <w:bookmarkEnd w:id="18"/>
      <w:bookmarkStart w:id="19" w:name="_1460038655"/>
      <w:bookmarkEnd w:id="19"/>
      <w:bookmarkStart w:id="20" w:name="_1460038714"/>
      <w:bookmarkEnd w:id="20"/>
      <w:bookmarkStart w:id="21" w:name="_1460038687"/>
      <w:bookmarkEnd w:id="21"/>
      <w:bookmarkStart w:id="22" w:name="_1460038659"/>
      <w:bookmarkEnd w:id="22"/>
      <w:r>
        <w:rPr>
          <w:rFonts w:hint="eastAsia" w:ascii="仿宋" w:hAnsi="仿宋" w:eastAsia="仿宋"/>
          <w:sz w:val="28"/>
          <w:szCs w:val="28"/>
        </w:rPr>
        <w:t>4.指标目标值</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指标目标值是绩效评价指标的尺度，既要反映同类项目的先进水平，又要符合项目的实际绩效水平。</w:t>
      </w:r>
      <w:r>
        <w:rPr>
          <w:rFonts w:hint="eastAsia" w:ascii="仿宋" w:hAnsi="仿宋" w:eastAsia="仿宋"/>
          <w:bCs/>
          <w:sz w:val="28"/>
          <w:szCs w:val="28"/>
        </w:rPr>
        <w:t>项目</w:t>
      </w:r>
      <w:r>
        <w:rPr>
          <w:rFonts w:hint="eastAsia" w:ascii="仿宋" w:hAnsi="仿宋" w:eastAsia="仿宋"/>
          <w:sz w:val="28"/>
          <w:szCs w:val="28"/>
        </w:rPr>
        <w:t>绩效评价指标目标值以项目计划目标确定。</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5.绩效标准</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财政项目资金绩效评价，是以结果为导向的财政支出管理模式，绩效评价标准主要有计划标准、行业标准、历史标准、其他标准等，结合项目的特点，确定此次绩效评价指标标准为行业标准和计划标准。项目管理和财务管理采用国家财务相关法律法规，产出和效果指标采用计划指标值作为绩效评价标准。</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6.评分细则</w:t>
      </w:r>
    </w:p>
    <w:p>
      <w:pPr>
        <w:spacing w:line="520" w:lineRule="exact"/>
        <w:ind w:firstLine="560" w:firstLineChars="200"/>
        <w:rPr>
          <w:rFonts w:ascii="仿宋" w:hAnsi="仿宋" w:eastAsia="仿宋"/>
          <w:sz w:val="28"/>
          <w:szCs w:val="28"/>
        </w:rPr>
      </w:pPr>
      <w:r>
        <w:rPr>
          <w:rFonts w:hint="eastAsia" w:ascii="仿宋" w:hAnsi="仿宋" w:eastAsia="仿宋"/>
          <w:bCs/>
          <w:sz w:val="28"/>
          <w:szCs w:val="28"/>
        </w:rPr>
        <w:t>项目</w:t>
      </w:r>
      <w:r>
        <w:rPr>
          <w:rFonts w:hint="eastAsia" w:ascii="仿宋" w:hAnsi="仿宋" w:eastAsia="仿宋"/>
          <w:sz w:val="28"/>
          <w:szCs w:val="28"/>
        </w:rPr>
        <w:t>绩效评价指标体系中三级指标评分是在指标说明评分要点的基础上进行的，定性指标对评分要点分段量化得分，定量指标按量化量直接评分。通过项目实施单位项目档案、财务资料进行检查，结合问卷调查和实地考察情况，项目组对项目的实施进展情况对每个指标进行独立评价和打分，在此基础上形成项目的整体得分。</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根据《湖北省财政项目资金绩效评价操作指南》中财政项目绩效评价结果级别评定相关要求，绩效评价总分值100分，根据综合评分结果，90分以上的为优秀、80-90分为良好，60-80分为中等，60分以下为差。</w:t>
      </w:r>
    </w:p>
    <w:p>
      <w:pPr>
        <w:ind w:firstLine="560" w:firstLineChars="200"/>
        <w:rPr>
          <w:rFonts w:ascii="仿宋" w:hAnsi="仿宋" w:eastAsia="仿宋"/>
          <w:sz w:val="28"/>
          <w:szCs w:val="28"/>
        </w:rPr>
      </w:pPr>
    </w:p>
    <w:p>
      <w:pPr>
        <w:spacing w:line="520" w:lineRule="exact"/>
        <w:ind w:firstLine="560" w:firstLineChars="200"/>
        <w:rPr>
          <w:rFonts w:ascii="仿宋" w:hAnsi="仿宋" w:eastAsia="仿宋"/>
          <w:sz w:val="28"/>
          <w:szCs w:val="28"/>
        </w:rPr>
      </w:pPr>
      <w:r>
        <w:rPr>
          <w:rFonts w:hint="eastAsia" w:ascii="仿宋" w:hAnsi="仿宋" w:eastAsia="仿宋"/>
          <w:sz w:val="28"/>
          <w:szCs w:val="28"/>
        </w:rPr>
        <w:t xml:space="preserve"> </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 xml:space="preserve">     </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 xml:space="preserve">   </w:t>
      </w:r>
    </w:p>
    <w:p>
      <w:pPr>
        <w:tabs>
          <w:tab w:val="left" w:pos="2616"/>
        </w:tabs>
        <w:jc w:val="left"/>
        <w:sectPr>
          <w:footerReference r:id="rId4" w:type="default"/>
          <w:pgSz w:w="11906" w:h="16838"/>
          <w:pgMar w:top="1440" w:right="1416" w:bottom="1440" w:left="1560" w:header="851" w:footer="992" w:gutter="0"/>
          <w:pgNumType w:start="1"/>
          <w:cols w:space="720" w:num="1"/>
          <w:docGrid w:type="lines" w:linePitch="312" w:charSpace="0"/>
        </w:sectPr>
      </w:pPr>
    </w:p>
    <w:p>
      <w:pPr>
        <w:spacing w:line="520" w:lineRule="exact"/>
        <w:ind w:firstLine="560" w:firstLineChars="200"/>
        <w:outlineLvl w:val="0"/>
        <w:rPr>
          <w:rFonts w:ascii="黑体" w:hAnsi="黑体" w:eastAsia="黑体" w:cs="黑体"/>
          <w:sz w:val="28"/>
          <w:szCs w:val="28"/>
        </w:rPr>
      </w:pPr>
      <w:bookmarkStart w:id="23" w:name="_Toc517708016"/>
      <w:bookmarkStart w:id="24" w:name="_Toc511502536"/>
      <w:r>
        <w:rPr>
          <w:rFonts w:hint="eastAsia" w:ascii="黑体" w:hAnsi="黑体" w:eastAsia="黑体" w:cs="黑体"/>
          <w:sz w:val="28"/>
          <w:szCs w:val="28"/>
        </w:rPr>
        <w:t>三、绩效分析及评价结论</w:t>
      </w:r>
      <w:bookmarkEnd w:id="23"/>
      <w:bookmarkEnd w:id="24"/>
    </w:p>
    <w:p>
      <w:pPr>
        <w:spacing w:line="520" w:lineRule="exact"/>
        <w:ind w:firstLine="560" w:firstLineChars="200"/>
        <w:outlineLvl w:val="1"/>
        <w:rPr>
          <w:rFonts w:ascii="仿宋" w:hAnsi="仿宋" w:eastAsia="仿宋"/>
          <w:sz w:val="28"/>
          <w:szCs w:val="28"/>
        </w:rPr>
      </w:pPr>
      <w:bookmarkStart w:id="25" w:name="_Toc8923"/>
      <w:bookmarkStart w:id="26" w:name="_Toc511502539"/>
      <w:bookmarkStart w:id="27" w:name="_Toc517708017"/>
      <w:r>
        <w:rPr>
          <w:rFonts w:hint="eastAsia" w:ascii="仿宋" w:hAnsi="仿宋" w:eastAsia="仿宋"/>
          <w:sz w:val="28"/>
          <w:szCs w:val="28"/>
        </w:rPr>
        <w:t>（一）</w:t>
      </w:r>
      <w:bookmarkEnd w:id="25"/>
      <w:r>
        <w:rPr>
          <w:rFonts w:hint="eastAsia" w:ascii="仿宋" w:hAnsi="仿宋" w:eastAsia="仿宋"/>
          <w:sz w:val="28"/>
          <w:szCs w:val="28"/>
        </w:rPr>
        <w:t>绩效分析及绩效指标完成情况</w:t>
      </w:r>
      <w:bookmarkEnd w:id="26"/>
      <w:bookmarkEnd w:id="27"/>
    </w:p>
    <w:p>
      <w:pPr>
        <w:spacing w:line="520" w:lineRule="exact"/>
        <w:outlineLvl w:val="2"/>
        <w:rPr>
          <w:rFonts w:ascii="仿宋" w:hAnsi="仿宋" w:eastAsia="仿宋"/>
          <w:bCs/>
          <w:sz w:val="28"/>
          <w:szCs w:val="28"/>
        </w:rPr>
      </w:pPr>
      <w:r>
        <w:rPr>
          <w:rFonts w:hint="eastAsia" w:ascii="仿宋" w:hAnsi="仿宋" w:eastAsia="仿宋"/>
          <w:bCs/>
          <w:sz w:val="28"/>
          <w:szCs w:val="28"/>
        </w:rPr>
        <w:t xml:space="preserve">    </w:t>
      </w:r>
      <w:bookmarkStart w:id="28" w:name="_Toc517708018"/>
      <w:r>
        <w:rPr>
          <w:rFonts w:hint="eastAsia" w:ascii="仿宋" w:hAnsi="仿宋" w:eastAsia="仿宋"/>
          <w:bCs/>
          <w:sz w:val="28"/>
          <w:szCs w:val="28"/>
        </w:rPr>
        <w:t>1.项目投入</w:t>
      </w:r>
      <w:bookmarkEnd w:id="28"/>
    </w:p>
    <w:p>
      <w:pPr>
        <w:spacing w:line="520" w:lineRule="exact"/>
        <w:ind w:firstLine="560" w:firstLineChars="200"/>
        <w:rPr>
          <w:rFonts w:ascii="仿宋" w:hAnsi="仿宋" w:eastAsia="仿宋"/>
          <w:sz w:val="28"/>
          <w:szCs w:val="28"/>
        </w:rPr>
      </w:pPr>
      <w:r>
        <w:rPr>
          <w:rFonts w:hint="eastAsia" w:ascii="仿宋" w:hAnsi="仿宋" w:eastAsia="仿宋"/>
          <w:sz w:val="28"/>
          <w:szCs w:val="28"/>
        </w:rPr>
        <w:t>本项指标总分为12分，实际得分</w:t>
      </w:r>
      <w:r>
        <w:rPr>
          <w:rFonts w:hint="eastAsia" w:ascii="仿宋" w:hAnsi="仿宋" w:eastAsia="仿宋"/>
          <w:sz w:val="28"/>
          <w:szCs w:val="28"/>
          <w:lang w:val="en-US" w:eastAsia="zh-CN"/>
        </w:rPr>
        <w:t>9.35</w:t>
      </w:r>
      <w:r>
        <w:rPr>
          <w:rFonts w:hint="eastAsia" w:ascii="仿宋" w:hAnsi="仿宋" w:eastAsia="仿宋"/>
          <w:sz w:val="28"/>
          <w:szCs w:val="28"/>
        </w:rPr>
        <w:t>分，得分率</w:t>
      </w:r>
      <w:r>
        <w:rPr>
          <w:rFonts w:hint="eastAsia" w:ascii="仿宋" w:hAnsi="仿宋" w:eastAsia="仿宋"/>
          <w:sz w:val="28"/>
          <w:szCs w:val="28"/>
          <w:lang w:val="en-US" w:eastAsia="zh-CN"/>
        </w:rPr>
        <w:t>77.92</w:t>
      </w:r>
      <w:r>
        <w:rPr>
          <w:rFonts w:hint="eastAsia" w:ascii="仿宋" w:hAnsi="仿宋" w:eastAsia="仿宋"/>
          <w:sz w:val="28"/>
          <w:szCs w:val="28"/>
        </w:rPr>
        <w:t>%，项目投入具体评价如下：</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（1）依据充分性</w:t>
      </w:r>
    </w:p>
    <w:p>
      <w:pPr>
        <w:spacing w:line="520" w:lineRule="exact"/>
        <w:ind w:firstLine="560" w:firstLineChars="200"/>
        <w:rPr>
          <w:rFonts w:hint="eastAsia" w:ascii="仿宋" w:hAnsi="仿宋" w:eastAsia="仿宋"/>
          <w:bCs/>
          <w:sz w:val="28"/>
          <w:szCs w:val="28"/>
          <w:lang w:val="en-US" w:eastAsia="zh-CN"/>
        </w:rPr>
      </w:pPr>
      <w:r>
        <w:rPr>
          <w:rFonts w:hint="eastAsia" w:ascii="仿宋" w:hAnsi="仿宋" w:eastAsia="仿宋"/>
          <w:bCs/>
          <w:sz w:val="28"/>
          <w:szCs w:val="28"/>
          <w:lang w:eastAsia="zh-CN"/>
        </w:rPr>
        <w:t>汉江沿河堤东菜园水毁整治工程</w:t>
      </w:r>
      <w:r>
        <w:rPr>
          <w:rFonts w:hint="eastAsia" w:ascii="仿宋" w:hAnsi="仿宋" w:eastAsia="仿宋"/>
          <w:bCs/>
          <w:sz w:val="28"/>
          <w:szCs w:val="28"/>
        </w:rPr>
        <w:t>、</w:t>
      </w:r>
      <w:r>
        <w:rPr>
          <w:rFonts w:hint="eastAsia" w:ascii="仿宋" w:hAnsi="仿宋" w:eastAsia="仿宋"/>
          <w:bCs/>
          <w:sz w:val="28"/>
          <w:szCs w:val="28"/>
          <w:lang w:eastAsia="zh-CN"/>
        </w:rPr>
        <w:t>环汉口绿道（汉江六桥至舵落口段）工程</w:t>
      </w:r>
      <w:r>
        <w:rPr>
          <w:rFonts w:hint="eastAsia" w:ascii="仿宋" w:hAnsi="仿宋" w:eastAsia="仿宋"/>
          <w:bCs/>
          <w:sz w:val="28"/>
          <w:szCs w:val="28"/>
        </w:rPr>
        <w:t>、</w:t>
      </w:r>
      <w:r>
        <w:rPr>
          <w:rFonts w:hint="eastAsia" w:ascii="仿宋" w:hAnsi="仿宋" w:eastAsia="仿宋"/>
          <w:bCs/>
          <w:sz w:val="28"/>
          <w:szCs w:val="28"/>
          <w:lang w:eastAsia="zh-CN"/>
        </w:rPr>
        <w:t>武昌市区堤鄂航码头至电厂闸口段岸坡改造及环境整治项目</w:t>
      </w:r>
      <w:r>
        <w:rPr>
          <w:rFonts w:hint="eastAsia" w:ascii="仿宋" w:hAnsi="仿宋" w:eastAsia="仿宋"/>
          <w:bCs/>
          <w:sz w:val="28"/>
          <w:szCs w:val="28"/>
          <w:lang w:val="en-US" w:eastAsia="zh-CN"/>
        </w:rPr>
        <w:t>、</w:t>
      </w:r>
      <w:r>
        <w:rPr>
          <w:rFonts w:hint="eastAsia" w:ascii="仿宋" w:hAnsi="仿宋" w:eastAsia="仿宋"/>
          <w:bCs/>
          <w:sz w:val="28"/>
          <w:szCs w:val="28"/>
          <w:lang w:eastAsia="zh-CN"/>
        </w:rPr>
        <w:t>三峡后续工作长江中下游影响处理湖北武汉段一期河道整治工程</w:t>
      </w:r>
      <w:r>
        <w:rPr>
          <w:rFonts w:hint="eastAsia" w:ascii="仿宋" w:hAnsi="仿宋" w:eastAsia="仿宋"/>
          <w:bCs/>
          <w:sz w:val="28"/>
          <w:szCs w:val="28"/>
          <w:lang w:val="en-US" w:eastAsia="zh-CN"/>
        </w:rPr>
        <w:t>、</w:t>
      </w:r>
      <w:r>
        <w:rPr>
          <w:rFonts w:hint="eastAsia" w:ascii="仿宋" w:hAnsi="仿宋" w:eastAsia="仿宋"/>
          <w:bCs/>
          <w:sz w:val="28"/>
          <w:szCs w:val="28"/>
          <w:lang w:eastAsia="zh-CN"/>
        </w:rPr>
        <w:t>堤防整险及加固、防汛仓库维修项目</w:t>
      </w:r>
      <w:r>
        <w:rPr>
          <w:rFonts w:hint="eastAsia" w:ascii="仿宋" w:hAnsi="仿宋" w:eastAsia="仿宋"/>
          <w:bCs/>
          <w:sz w:val="28"/>
          <w:szCs w:val="28"/>
        </w:rPr>
        <w:t>立项依据充分，立项申请</w:t>
      </w:r>
      <w:r>
        <w:rPr>
          <w:rFonts w:hint="eastAsia" w:ascii="仿宋" w:hAnsi="仿宋" w:eastAsia="仿宋"/>
          <w:bCs/>
          <w:sz w:val="28"/>
          <w:szCs w:val="28"/>
          <w:lang w:eastAsia="zh-CN"/>
        </w:rPr>
        <w:t>理</w:t>
      </w:r>
      <w:r>
        <w:rPr>
          <w:rFonts w:hint="eastAsia" w:ascii="仿宋" w:hAnsi="仿宋" w:eastAsia="仿宋"/>
          <w:bCs/>
          <w:sz w:val="28"/>
          <w:szCs w:val="28"/>
        </w:rPr>
        <w:t>由符合规定，项目申报的主要内容完整</w:t>
      </w:r>
      <w:r>
        <w:rPr>
          <w:rFonts w:hint="eastAsia" w:ascii="仿宋" w:hAnsi="仿宋" w:eastAsia="仿宋"/>
          <w:bCs/>
          <w:sz w:val="28"/>
          <w:szCs w:val="28"/>
          <w:lang w:eastAsia="zh-CN"/>
        </w:rPr>
        <w:t>。</w:t>
      </w:r>
      <w:r>
        <w:rPr>
          <w:rFonts w:hint="eastAsia" w:ascii="仿宋" w:hAnsi="仿宋" w:eastAsia="仿宋"/>
          <w:bCs/>
          <w:sz w:val="28"/>
          <w:szCs w:val="28"/>
          <w:lang w:val="en-US" w:eastAsia="zh-CN"/>
        </w:rPr>
        <w:t xml:space="preserve"> </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（2）目标合理性</w:t>
      </w:r>
    </w:p>
    <w:p>
      <w:pPr>
        <w:spacing w:line="520" w:lineRule="exact"/>
        <w:ind w:firstLine="560" w:firstLineChars="200"/>
        <w:rPr>
          <w:rFonts w:hint="eastAsia" w:ascii="仿宋" w:hAnsi="仿宋" w:eastAsia="仿宋"/>
          <w:bCs/>
          <w:sz w:val="28"/>
          <w:szCs w:val="28"/>
          <w:lang w:eastAsia="zh-CN"/>
        </w:rPr>
      </w:pPr>
      <w:r>
        <w:rPr>
          <w:rFonts w:hint="eastAsia" w:ascii="仿宋" w:hAnsi="仿宋" w:eastAsia="仿宋"/>
          <w:bCs/>
          <w:sz w:val="28"/>
          <w:szCs w:val="28"/>
        </w:rPr>
        <w:t>项目的实施最大限度确保</w:t>
      </w:r>
      <w:r>
        <w:rPr>
          <w:rFonts w:hint="eastAsia" w:ascii="仿宋" w:hAnsi="仿宋" w:eastAsia="仿宋"/>
          <w:bCs/>
          <w:sz w:val="28"/>
          <w:szCs w:val="28"/>
          <w:lang w:eastAsia="zh-CN"/>
        </w:rPr>
        <w:t>防洪及环境整理工程、防汛物资管理和筹集工作顺利开展，保障沿江地区经济社会可持续发展</w:t>
      </w:r>
      <w:r>
        <w:rPr>
          <w:rFonts w:hint="eastAsia" w:ascii="仿宋" w:hAnsi="仿宋" w:eastAsia="仿宋"/>
          <w:bCs/>
          <w:sz w:val="28"/>
          <w:szCs w:val="28"/>
        </w:rPr>
        <w:t>。绩效目标符合国家相关法律法规、武汉市经济发展规划，体现了履行发展水务事业的职责，项目预期产出效益和效果符合正常的业绩水平</w:t>
      </w:r>
      <w:r>
        <w:rPr>
          <w:rFonts w:hint="eastAsia" w:ascii="仿宋" w:hAnsi="仿宋" w:eastAsia="仿宋"/>
          <w:bCs/>
          <w:sz w:val="28"/>
          <w:szCs w:val="28"/>
          <w:lang w:eastAsia="zh-CN"/>
        </w:rPr>
        <w:t>。</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（3）指标明确性</w:t>
      </w:r>
    </w:p>
    <w:p>
      <w:pPr>
        <w:spacing w:line="520" w:lineRule="exact"/>
        <w:rPr>
          <w:rFonts w:ascii="仿宋" w:hAnsi="仿宋" w:eastAsia="仿宋"/>
          <w:bCs/>
          <w:sz w:val="28"/>
          <w:szCs w:val="28"/>
        </w:rPr>
      </w:pPr>
      <w:r>
        <w:rPr>
          <w:rFonts w:hint="eastAsia" w:ascii="仿宋" w:hAnsi="仿宋" w:eastAsia="仿宋"/>
          <w:bCs/>
          <w:sz w:val="28"/>
          <w:szCs w:val="28"/>
        </w:rPr>
        <w:t xml:space="preserve">    项目设立了年度绩效指标，指标设置较为科学，具体设置情况见“项目预算绩效目标”。</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（4）资金执行率</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lang w:val="en-US" w:eastAsia="zh-CN"/>
        </w:rPr>
        <w:t xml:space="preserve"> </w:t>
      </w:r>
      <w:r>
        <w:rPr>
          <w:rFonts w:hint="eastAsia" w:ascii="仿宋" w:hAnsi="仿宋" w:eastAsia="仿宋"/>
          <w:bCs/>
          <w:sz w:val="28"/>
          <w:szCs w:val="28"/>
          <w:lang w:eastAsia="zh-CN"/>
        </w:rPr>
        <w:t>武汉市水务堤防工程建设管理中心</w:t>
      </w:r>
      <w:r>
        <w:rPr>
          <w:rFonts w:hint="eastAsia" w:ascii="仿宋" w:hAnsi="仿宋" w:eastAsia="仿宋"/>
          <w:bCs/>
          <w:sz w:val="28"/>
          <w:szCs w:val="28"/>
        </w:rPr>
        <w:t>2017年项目支出预算</w:t>
      </w:r>
      <w:r>
        <w:rPr>
          <w:rFonts w:hint="eastAsia" w:ascii="仿宋" w:hAnsi="仿宋" w:eastAsia="仿宋"/>
          <w:bCs/>
          <w:sz w:val="28"/>
          <w:szCs w:val="28"/>
          <w:lang w:val="en-US" w:eastAsia="zh-CN"/>
        </w:rPr>
        <w:t>4911.61</w:t>
      </w:r>
      <w:r>
        <w:rPr>
          <w:rFonts w:hint="eastAsia" w:ascii="仿宋" w:hAnsi="仿宋" w:eastAsia="仿宋"/>
          <w:bCs/>
          <w:sz w:val="28"/>
          <w:szCs w:val="28"/>
        </w:rPr>
        <w:t>万元，同口径预算实际支出</w:t>
      </w:r>
      <w:r>
        <w:rPr>
          <w:rFonts w:hint="eastAsia" w:ascii="仿宋" w:hAnsi="仿宋" w:eastAsia="仿宋"/>
          <w:bCs/>
          <w:sz w:val="28"/>
          <w:szCs w:val="28"/>
          <w:lang w:val="en-US" w:eastAsia="zh-CN"/>
        </w:rPr>
        <w:t>4786.10</w:t>
      </w:r>
      <w:r>
        <w:rPr>
          <w:rFonts w:hint="eastAsia" w:ascii="仿宋" w:hAnsi="仿宋" w:eastAsia="仿宋"/>
          <w:bCs/>
          <w:sz w:val="28"/>
          <w:szCs w:val="28"/>
        </w:rPr>
        <w:t>万元，项目预算执行率为</w:t>
      </w:r>
      <w:r>
        <w:rPr>
          <w:rFonts w:hint="eastAsia" w:ascii="仿宋" w:hAnsi="仿宋" w:eastAsia="仿宋"/>
          <w:bCs/>
          <w:sz w:val="28"/>
          <w:szCs w:val="28"/>
          <w:lang w:val="en-US" w:eastAsia="zh-CN"/>
        </w:rPr>
        <w:t>97</w:t>
      </w:r>
      <w:r>
        <w:rPr>
          <w:rFonts w:ascii="仿宋" w:hAnsi="仿宋" w:eastAsia="仿宋"/>
          <w:bCs/>
          <w:sz w:val="28"/>
          <w:szCs w:val="28"/>
        </w:rPr>
        <w:t>%</w:t>
      </w:r>
      <w:r>
        <w:rPr>
          <w:rFonts w:hint="eastAsia" w:ascii="仿宋" w:hAnsi="仿宋" w:eastAsia="仿宋"/>
          <w:bCs/>
          <w:sz w:val="28"/>
          <w:szCs w:val="28"/>
        </w:rPr>
        <w:t>，具体情况如下表：</w:t>
      </w:r>
    </w:p>
    <w:tbl>
      <w:tblPr>
        <w:tblStyle w:val="9"/>
        <w:tblpPr w:leftFromText="180" w:rightFromText="180" w:vertAnchor="text" w:horzAnchor="margin" w:tblpXSpec="center" w:tblpY="358"/>
        <w:tblW w:w="8613" w:type="dxa"/>
        <w:tblInd w:w="0" w:type="dxa"/>
        <w:tblLayout w:type="fixed"/>
        <w:tblCellMar>
          <w:top w:w="0" w:type="dxa"/>
          <w:left w:w="108" w:type="dxa"/>
          <w:bottom w:w="0" w:type="dxa"/>
          <w:right w:w="108" w:type="dxa"/>
        </w:tblCellMar>
      </w:tblPr>
      <w:tblGrid>
        <w:gridCol w:w="841"/>
        <w:gridCol w:w="3390"/>
        <w:gridCol w:w="1485"/>
        <w:gridCol w:w="1635"/>
        <w:gridCol w:w="1262"/>
      </w:tblGrid>
      <w:tr>
        <w:tblPrEx>
          <w:tblLayout w:type="fixed"/>
          <w:tblCellMar>
            <w:top w:w="0" w:type="dxa"/>
            <w:left w:w="108" w:type="dxa"/>
            <w:bottom w:w="0" w:type="dxa"/>
            <w:right w:w="108" w:type="dxa"/>
          </w:tblCellMar>
        </w:tblPrEx>
        <w:trPr>
          <w:trHeight w:val="465" w:hRule="atLeast"/>
          <w:tblHeader/>
        </w:trPr>
        <w:tc>
          <w:tcPr>
            <w:tcW w:w="84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序号</w:t>
            </w:r>
          </w:p>
        </w:tc>
        <w:tc>
          <w:tcPr>
            <w:tcW w:w="339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项目名称</w:t>
            </w:r>
          </w:p>
        </w:tc>
        <w:tc>
          <w:tcPr>
            <w:tcW w:w="148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预算数</w:t>
            </w:r>
          </w:p>
        </w:tc>
        <w:tc>
          <w:tcPr>
            <w:tcW w:w="163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执行数</w:t>
            </w:r>
          </w:p>
        </w:tc>
        <w:tc>
          <w:tcPr>
            <w:tcW w:w="126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执行率</w:t>
            </w:r>
          </w:p>
        </w:tc>
      </w:tr>
      <w:tr>
        <w:tblPrEx>
          <w:tblLayout w:type="fixed"/>
          <w:tblCellMar>
            <w:top w:w="0" w:type="dxa"/>
            <w:left w:w="108" w:type="dxa"/>
            <w:bottom w:w="0" w:type="dxa"/>
            <w:right w:w="108" w:type="dxa"/>
          </w:tblCellMar>
        </w:tblPrEx>
        <w:trPr>
          <w:trHeight w:val="465" w:hRule="atLeast"/>
        </w:trPr>
        <w:tc>
          <w:tcPr>
            <w:tcW w:w="841"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1</w:t>
            </w:r>
          </w:p>
        </w:tc>
        <w:tc>
          <w:tcPr>
            <w:tcW w:w="33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汉江沿河堤东菜园水毁整治工程</w:t>
            </w:r>
          </w:p>
        </w:tc>
        <w:tc>
          <w:tcPr>
            <w:tcW w:w="148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 xml:space="preserve">298.51 </w:t>
            </w:r>
          </w:p>
        </w:tc>
        <w:tc>
          <w:tcPr>
            <w:tcW w:w="163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 xml:space="preserve">298.51 </w:t>
            </w:r>
          </w:p>
        </w:tc>
        <w:tc>
          <w:tcPr>
            <w:tcW w:w="1262"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100%</w:t>
            </w:r>
          </w:p>
        </w:tc>
      </w:tr>
      <w:tr>
        <w:tblPrEx>
          <w:tblLayout w:type="fixed"/>
          <w:tblCellMar>
            <w:top w:w="0" w:type="dxa"/>
            <w:left w:w="108" w:type="dxa"/>
            <w:bottom w:w="0" w:type="dxa"/>
            <w:right w:w="108" w:type="dxa"/>
          </w:tblCellMar>
        </w:tblPrEx>
        <w:trPr>
          <w:trHeight w:val="465" w:hRule="atLeast"/>
        </w:trPr>
        <w:tc>
          <w:tcPr>
            <w:tcW w:w="841"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2</w:t>
            </w:r>
          </w:p>
        </w:tc>
        <w:tc>
          <w:tcPr>
            <w:tcW w:w="33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环汉口绿道（汉江六桥至舵落口段）工程</w:t>
            </w:r>
          </w:p>
        </w:tc>
        <w:tc>
          <w:tcPr>
            <w:tcW w:w="148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 xml:space="preserve">500.00 </w:t>
            </w:r>
          </w:p>
        </w:tc>
        <w:tc>
          <w:tcPr>
            <w:tcW w:w="163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 xml:space="preserve">500.00 </w:t>
            </w:r>
          </w:p>
        </w:tc>
        <w:tc>
          <w:tcPr>
            <w:tcW w:w="1262"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100%</w:t>
            </w:r>
          </w:p>
        </w:tc>
      </w:tr>
      <w:tr>
        <w:tblPrEx>
          <w:tblLayout w:type="fixed"/>
          <w:tblCellMar>
            <w:top w:w="0" w:type="dxa"/>
            <w:left w:w="108" w:type="dxa"/>
            <w:bottom w:w="0" w:type="dxa"/>
            <w:right w:w="108" w:type="dxa"/>
          </w:tblCellMar>
        </w:tblPrEx>
        <w:trPr>
          <w:trHeight w:val="465" w:hRule="atLeast"/>
        </w:trPr>
        <w:tc>
          <w:tcPr>
            <w:tcW w:w="841"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3</w:t>
            </w:r>
          </w:p>
        </w:tc>
        <w:tc>
          <w:tcPr>
            <w:tcW w:w="33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武昌市区堤鄂航码头至电厂闸口段岸坡改造及环境整治</w:t>
            </w:r>
          </w:p>
        </w:tc>
        <w:tc>
          <w:tcPr>
            <w:tcW w:w="148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 w:val="22"/>
                <w:szCs w:val="22"/>
              </w:rPr>
            </w:pPr>
            <w:r>
              <w:rPr>
                <w:rFonts w:hint="eastAsia" w:ascii="宋体" w:hAnsi="宋体" w:eastAsia="宋体" w:cs="宋体"/>
                <w:i w:val="0"/>
                <w:color w:val="FF0000"/>
                <w:kern w:val="0"/>
                <w:sz w:val="22"/>
                <w:szCs w:val="22"/>
                <w:u w:val="none"/>
                <w:lang w:val="en-US" w:eastAsia="zh-CN" w:bidi="ar"/>
              </w:rPr>
              <w:t xml:space="preserve">70.00 </w:t>
            </w:r>
          </w:p>
        </w:tc>
        <w:tc>
          <w:tcPr>
            <w:tcW w:w="163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 xml:space="preserve">40.36 </w:t>
            </w:r>
          </w:p>
        </w:tc>
        <w:tc>
          <w:tcPr>
            <w:tcW w:w="1262"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58%</w:t>
            </w:r>
          </w:p>
        </w:tc>
      </w:tr>
      <w:tr>
        <w:tblPrEx>
          <w:tblLayout w:type="fixed"/>
          <w:tblCellMar>
            <w:top w:w="0" w:type="dxa"/>
            <w:left w:w="108" w:type="dxa"/>
            <w:bottom w:w="0" w:type="dxa"/>
            <w:right w:w="108" w:type="dxa"/>
          </w:tblCellMar>
        </w:tblPrEx>
        <w:trPr>
          <w:trHeight w:val="465" w:hRule="atLeast"/>
        </w:trPr>
        <w:tc>
          <w:tcPr>
            <w:tcW w:w="841"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4</w:t>
            </w:r>
          </w:p>
        </w:tc>
        <w:tc>
          <w:tcPr>
            <w:tcW w:w="33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三峡后续工作长江中下游影响处理湖北武汉段一期河道整治工程</w:t>
            </w:r>
          </w:p>
        </w:tc>
        <w:tc>
          <w:tcPr>
            <w:tcW w:w="148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 xml:space="preserve">3000.00 </w:t>
            </w:r>
          </w:p>
        </w:tc>
        <w:tc>
          <w:tcPr>
            <w:tcW w:w="163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 xml:space="preserve">3000.00 </w:t>
            </w:r>
          </w:p>
        </w:tc>
        <w:tc>
          <w:tcPr>
            <w:tcW w:w="1262"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100%</w:t>
            </w:r>
          </w:p>
        </w:tc>
      </w:tr>
      <w:tr>
        <w:tblPrEx>
          <w:tblLayout w:type="fixed"/>
          <w:tblCellMar>
            <w:top w:w="0" w:type="dxa"/>
            <w:left w:w="108" w:type="dxa"/>
            <w:bottom w:w="0" w:type="dxa"/>
            <w:right w:w="108" w:type="dxa"/>
          </w:tblCellMar>
        </w:tblPrEx>
        <w:trPr>
          <w:trHeight w:val="465" w:hRule="atLeast"/>
        </w:trPr>
        <w:tc>
          <w:tcPr>
            <w:tcW w:w="841"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5</w:t>
            </w:r>
          </w:p>
        </w:tc>
        <w:tc>
          <w:tcPr>
            <w:tcW w:w="33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基本建设项目管理费</w:t>
            </w:r>
          </w:p>
        </w:tc>
        <w:tc>
          <w:tcPr>
            <w:tcW w:w="148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color w:val="000000"/>
                <w:kern w:val="0"/>
                <w:sz w:val="22"/>
                <w:szCs w:val="22"/>
              </w:rPr>
            </w:pPr>
            <w:r>
              <w:rPr>
                <w:rFonts w:hint="eastAsia" w:ascii="宋体" w:hAnsi="宋体" w:eastAsia="宋体" w:cs="宋体"/>
                <w:i w:val="0"/>
                <w:color w:val="FF0000"/>
                <w:kern w:val="0"/>
                <w:sz w:val="22"/>
                <w:szCs w:val="22"/>
                <w:u w:val="none"/>
                <w:lang w:val="en-US" w:eastAsia="zh-CN" w:bidi="ar"/>
              </w:rPr>
              <w:t xml:space="preserve">310.66 </w:t>
            </w:r>
          </w:p>
        </w:tc>
        <w:tc>
          <w:tcPr>
            <w:tcW w:w="163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 xml:space="preserve">245.17 </w:t>
            </w:r>
          </w:p>
        </w:tc>
        <w:tc>
          <w:tcPr>
            <w:tcW w:w="1262"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79%</w:t>
            </w:r>
          </w:p>
        </w:tc>
      </w:tr>
      <w:tr>
        <w:tblPrEx>
          <w:tblLayout w:type="fixed"/>
          <w:tblCellMar>
            <w:top w:w="0" w:type="dxa"/>
            <w:left w:w="108" w:type="dxa"/>
            <w:bottom w:w="0" w:type="dxa"/>
            <w:right w:w="108" w:type="dxa"/>
          </w:tblCellMar>
        </w:tblPrEx>
        <w:trPr>
          <w:trHeight w:val="465" w:hRule="atLeast"/>
        </w:trPr>
        <w:tc>
          <w:tcPr>
            <w:tcW w:w="841"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6</w:t>
            </w:r>
          </w:p>
        </w:tc>
        <w:tc>
          <w:tcPr>
            <w:tcW w:w="33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防汛物资管理</w:t>
            </w:r>
          </w:p>
        </w:tc>
        <w:tc>
          <w:tcPr>
            <w:tcW w:w="148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 xml:space="preserve">115.00 </w:t>
            </w:r>
          </w:p>
        </w:tc>
        <w:tc>
          <w:tcPr>
            <w:tcW w:w="163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 xml:space="preserve">115.00 </w:t>
            </w:r>
          </w:p>
        </w:tc>
        <w:tc>
          <w:tcPr>
            <w:tcW w:w="1262"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100%</w:t>
            </w:r>
          </w:p>
        </w:tc>
      </w:tr>
      <w:tr>
        <w:tblPrEx>
          <w:tblLayout w:type="fixed"/>
          <w:tblCellMar>
            <w:top w:w="0" w:type="dxa"/>
            <w:left w:w="108" w:type="dxa"/>
            <w:bottom w:w="0" w:type="dxa"/>
            <w:right w:w="108" w:type="dxa"/>
          </w:tblCellMar>
        </w:tblPrEx>
        <w:trPr>
          <w:trHeight w:val="465" w:hRule="atLeast"/>
        </w:trPr>
        <w:tc>
          <w:tcPr>
            <w:tcW w:w="841"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7</w:t>
            </w:r>
          </w:p>
        </w:tc>
        <w:tc>
          <w:tcPr>
            <w:tcW w:w="33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堤防整险及加固</w:t>
            </w:r>
          </w:p>
        </w:tc>
        <w:tc>
          <w:tcPr>
            <w:tcW w:w="148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 xml:space="preserve">132.44 </w:t>
            </w:r>
          </w:p>
        </w:tc>
        <w:tc>
          <w:tcPr>
            <w:tcW w:w="163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 xml:space="preserve">132.04 </w:t>
            </w:r>
          </w:p>
        </w:tc>
        <w:tc>
          <w:tcPr>
            <w:tcW w:w="1262"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100%</w:t>
            </w:r>
          </w:p>
        </w:tc>
      </w:tr>
      <w:tr>
        <w:tblPrEx>
          <w:tblLayout w:type="fixed"/>
          <w:tblCellMar>
            <w:top w:w="0" w:type="dxa"/>
            <w:left w:w="108" w:type="dxa"/>
            <w:bottom w:w="0" w:type="dxa"/>
            <w:right w:w="108" w:type="dxa"/>
          </w:tblCellMar>
        </w:tblPrEx>
        <w:trPr>
          <w:trHeight w:val="465" w:hRule="atLeast"/>
        </w:trPr>
        <w:tc>
          <w:tcPr>
            <w:tcW w:w="841"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8</w:t>
            </w:r>
          </w:p>
        </w:tc>
        <w:tc>
          <w:tcPr>
            <w:tcW w:w="33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防汛物资采购</w:t>
            </w:r>
          </w:p>
        </w:tc>
        <w:tc>
          <w:tcPr>
            <w:tcW w:w="148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 xml:space="preserve">200.00 </w:t>
            </w:r>
          </w:p>
        </w:tc>
        <w:tc>
          <w:tcPr>
            <w:tcW w:w="163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 xml:space="preserve">200.00 </w:t>
            </w:r>
          </w:p>
        </w:tc>
        <w:tc>
          <w:tcPr>
            <w:tcW w:w="1262"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100%</w:t>
            </w:r>
          </w:p>
        </w:tc>
      </w:tr>
      <w:tr>
        <w:tblPrEx>
          <w:tblLayout w:type="fixed"/>
          <w:tblCellMar>
            <w:top w:w="0" w:type="dxa"/>
            <w:left w:w="108" w:type="dxa"/>
            <w:bottom w:w="0" w:type="dxa"/>
            <w:right w:w="108" w:type="dxa"/>
          </w:tblCellMar>
        </w:tblPrEx>
        <w:trPr>
          <w:trHeight w:val="465" w:hRule="atLeast"/>
        </w:trPr>
        <w:tc>
          <w:tcPr>
            <w:tcW w:w="841"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9</w:t>
            </w:r>
          </w:p>
        </w:tc>
        <w:tc>
          <w:tcPr>
            <w:tcW w:w="33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防汛仓库维修</w:t>
            </w:r>
          </w:p>
        </w:tc>
        <w:tc>
          <w:tcPr>
            <w:tcW w:w="148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 xml:space="preserve">55.00 </w:t>
            </w:r>
          </w:p>
        </w:tc>
        <w:tc>
          <w:tcPr>
            <w:tcW w:w="163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 xml:space="preserve">55.00 </w:t>
            </w:r>
          </w:p>
        </w:tc>
        <w:tc>
          <w:tcPr>
            <w:tcW w:w="1262"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100%</w:t>
            </w:r>
          </w:p>
        </w:tc>
      </w:tr>
      <w:tr>
        <w:tblPrEx>
          <w:tblLayout w:type="fixed"/>
          <w:tblCellMar>
            <w:top w:w="0" w:type="dxa"/>
            <w:left w:w="108" w:type="dxa"/>
            <w:bottom w:w="0" w:type="dxa"/>
            <w:right w:w="108" w:type="dxa"/>
          </w:tblCellMar>
        </w:tblPrEx>
        <w:trPr>
          <w:trHeight w:val="465" w:hRule="atLeast"/>
        </w:trPr>
        <w:tc>
          <w:tcPr>
            <w:tcW w:w="841"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10</w:t>
            </w:r>
          </w:p>
        </w:tc>
        <w:tc>
          <w:tcPr>
            <w:tcW w:w="33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防汛抗旱业务管理</w:t>
            </w:r>
          </w:p>
        </w:tc>
        <w:tc>
          <w:tcPr>
            <w:tcW w:w="148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 xml:space="preserve">230.00 </w:t>
            </w:r>
          </w:p>
        </w:tc>
        <w:tc>
          <w:tcPr>
            <w:tcW w:w="163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 xml:space="preserve">200.02 </w:t>
            </w:r>
          </w:p>
        </w:tc>
        <w:tc>
          <w:tcPr>
            <w:tcW w:w="1262"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87%</w:t>
            </w:r>
          </w:p>
        </w:tc>
      </w:tr>
      <w:tr>
        <w:tblPrEx>
          <w:tblLayout w:type="fixed"/>
          <w:tblCellMar>
            <w:top w:w="0" w:type="dxa"/>
            <w:left w:w="108" w:type="dxa"/>
            <w:bottom w:w="0" w:type="dxa"/>
            <w:right w:w="108" w:type="dxa"/>
          </w:tblCellMar>
        </w:tblPrEx>
        <w:trPr>
          <w:trHeight w:val="540" w:hRule="atLeast"/>
        </w:trPr>
        <w:tc>
          <w:tcPr>
            <w:tcW w:w="84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11</w:t>
            </w:r>
          </w:p>
        </w:tc>
        <w:tc>
          <w:tcPr>
            <w:tcW w:w="339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合计</w:t>
            </w:r>
          </w:p>
        </w:tc>
        <w:tc>
          <w:tcPr>
            <w:tcW w:w="148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 xml:space="preserve">4911.61 </w:t>
            </w:r>
          </w:p>
        </w:tc>
        <w:tc>
          <w:tcPr>
            <w:tcW w:w="163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 xml:space="preserve">4786.10 </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lang w:val="en-US" w:eastAsia="zh-CN"/>
              </w:rPr>
              <w:t>97</w:t>
            </w:r>
            <w:r>
              <w:rPr>
                <w:rFonts w:hint="eastAsia" w:ascii="宋体" w:hAnsi="宋体" w:eastAsia="宋体" w:cs="宋体"/>
                <w:color w:val="000000"/>
                <w:kern w:val="0"/>
                <w:sz w:val="22"/>
                <w:szCs w:val="22"/>
              </w:rPr>
              <w:t>%</w:t>
            </w:r>
          </w:p>
        </w:tc>
      </w:tr>
    </w:tbl>
    <w:p>
      <w:pPr>
        <w:spacing w:line="520" w:lineRule="exact"/>
        <w:ind w:firstLine="560" w:firstLineChars="200"/>
        <w:outlineLvl w:val="2"/>
        <w:rPr>
          <w:rFonts w:ascii="仿宋" w:hAnsi="仿宋" w:eastAsia="仿宋"/>
          <w:bCs/>
          <w:sz w:val="28"/>
          <w:szCs w:val="28"/>
        </w:rPr>
      </w:pPr>
      <w:bookmarkStart w:id="29" w:name="_Toc517708019"/>
      <w:r>
        <w:rPr>
          <w:rFonts w:hint="eastAsia" w:ascii="仿宋" w:hAnsi="仿宋" w:eastAsia="仿宋"/>
          <w:bCs/>
          <w:sz w:val="28"/>
          <w:szCs w:val="28"/>
        </w:rPr>
        <w:t>2.项目过程</w:t>
      </w:r>
      <w:bookmarkEnd w:id="29"/>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项目资金使用按照计划执行，符合国家财经法规和财务管理制度以及有关专项资</w:t>
      </w:r>
      <w:r>
        <w:rPr>
          <w:rFonts w:hint="eastAsia" w:ascii="仿宋" w:hAnsi="仿宋" w:eastAsia="仿宋"/>
          <w:bCs/>
          <w:sz w:val="28"/>
          <w:szCs w:val="28"/>
          <w:lang w:eastAsia="zh-CN"/>
        </w:rPr>
        <w:t>金</w:t>
      </w:r>
      <w:r>
        <w:rPr>
          <w:rFonts w:hint="eastAsia" w:ascii="仿宋" w:hAnsi="仿宋" w:eastAsia="仿宋"/>
          <w:bCs/>
          <w:sz w:val="28"/>
          <w:szCs w:val="28"/>
        </w:rPr>
        <w:t>管理办法的规定。项目资金拨付与使用有完整的审批流程和手续，独立核算，账簿齐全，账务处理较为规范，并制定了相应的财务监控机制。项目管理所需人员、设备设施等条件落实到位，项目建设的施工单位和相关单位的确定办理了政府采购等相关手续。项目基本建设程序管理、项目工程质量管理、项目档案管理制度健全且得到执行, 项目单位基本建设管理程序落实到位。本项指标总分为28分，实际得2</w:t>
      </w:r>
      <w:r>
        <w:rPr>
          <w:rFonts w:hint="eastAsia" w:ascii="仿宋" w:hAnsi="仿宋" w:eastAsia="仿宋"/>
          <w:bCs/>
          <w:sz w:val="28"/>
          <w:szCs w:val="28"/>
          <w:lang w:val="en-US" w:eastAsia="zh-CN"/>
        </w:rPr>
        <w:t>8</w:t>
      </w:r>
      <w:r>
        <w:rPr>
          <w:rFonts w:hint="eastAsia" w:ascii="仿宋" w:hAnsi="仿宋" w:eastAsia="仿宋"/>
          <w:bCs/>
          <w:sz w:val="28"/>
          <w:szCs w:val="28"/>
        </w:rPr>
        <w:t>分，得分率</w:t>
      </w:r>
      <w:r>
        <w:rPr>
          <w:rFonts w:hint="eastAsia" w:ascii="仿宋" w:hAnsi="仿宋" w:eastAsia="仿宋"/>
          <w:bCs/>
          <w:sz w:val="28"/>
          <w:szCs w:val="28"/>
          <w:lang w:val="en-US" w:eastAsia="zh-CN"/>
        </w:rPr>
        <w:t>100</w:t>
      </w:r>
      <w:r>
        <w:rPr>
          <w:rFonts w:hint="eastAsia" w:ascii="仿宋" w:hAnsi="仿宋" w:eastAsia="仿宋"/>
          <w:bCs/>
          <w:sz w:val="28"/>
          <w:szCs w:val="28"/>
        </w:rPr>
        <w:t>%,项目过程具体评价如下：</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（1）财务管理制度健全性</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为了规范和加强项目的财务管理，严格执行项目资金计划，控制项目基本建设投资规模，降低工程造价，提高投资的使用效益，根据</w:t>
      </w:r>
      <w:r>
        <w:rPr>
          <w:rFonts w:hint="eastAsia" w:ascii="仿宋" w:hAnsi="仿宋" w:eastAsia="仿宋"/>
          <w:sz w:val="28"/>
          <w:szCs w:val="28"/>
        </w:rPr>
        <w:t>《中华人民共和国会计法》、《行政单位会计准则》和《行政单位会计制度》等法律、法规，</w:t>
      </w:r>
      <w:r>
        <w:rPr>
          <w:rFonts w:hint="eastAsia" w:ascii="仿宋" w:hAnsi="仿宋" w:eastAsia="仿宋"/>
          <w:sz w:val="28"/>
          <w:szCs w:val="28"/>
          <w:lang w:eastAsia="zh-CN"/>
        </w:rPr>
        <w:t>武汉市水务堤防工程建设管理中心</w:t>
      </w:r>
      <w:r>
        <w:rPr>
          <w:rFonts w:hint="eastAsia" w:ascii="仿宋" w:hAnsi="仿宋" w:eastAsia="仿宋"/>
          <w:bCs/>
          <w:sz w:val="28"/>
          <w:szCs w:val="28"/>
        </w:rPr>
        <w:t>印发了制定和印发了《</w:t>
      </w:r>
      <w:r>
        <w:rPr>
          <w:rFonts w:hint="eastAsia" w:ascii="仿宋" w:hAnsi="仿宋" w:eastAsia="仿宋"/>
          <w:bCs/>
          <w:sz w:val="28"/>
          <w:szCs w:val="28"/>
          <w:lang w:eastAsia="zh-CN"/>
        </w:rPr>
        <w:t>市水务局政府采购工作管理办法</w:t>
      </w:r>
      <w:r>
        <w:rPr>
          <w:rFonts w:hint="eastAsia" w:ascii="仿宋" w:hAnsi="仿宋" w:eastAsia="仿宋"/>
          <w:bCs/>
          <w:sz w:val="28"/>
          <w:szCs w:val="28"/>
        </w:rPr>
        <w:t>》、《</w:t>
      </w:r>
      <w:r>
        <w:rPr>
          <w:rFonts w:hint="eastAsia" w:ascii="仿宋" w:hAnsi="仿宋" w:eastAsia="仿宋"/>
          <w:bCs/>
          <w:sz w:val="28"/>
          <w:szCs w:val="28"/>
          <w:lang w:eastAsia="zh-CN"/>
        </w:rPr>
        <w:t>市堤建中心内部控制</w:t>
      </w:r>
      <w:r>
        <w:rPr>
          <w:rFonts w:hint="eastAsia" w:ascii="仿宋" w:hAnsi="仿宋" w:eastAsia="仿宋"/>
          <w:bCs/>
          <w:sz w:val="28"/>
          <w:szCs w:val="28"/>
        </w:rPr>
        <w:t>制度》、《</w:t>
      </w:r>
      <w:r>
        <w:rPr>
          <w:rFonts w:hint="eastAsia" w:ascii="仿宋" w:hAnsi="仿宋" w:eastAsia="仿宋"/>
          <w:bCs/>
          <w:sz w:val="28"/>
          <w:szCs w:val="28"/>
          <w:lang w:eastAsia="zh-CN"/>
        </w:rPr>
        <w:t>机关经费报销管理暂行办法</w:t>
      </w:r>
      <w:r>
        <w:rPr>
          <w:rFonts w:hint="eastAsia" w:ascii="仿宋" w:hAnsi="仿宋" w:eastAsia="仿宋"/>
          <w:bCs/>
          <w:sz w:val="28"/>
          <w:szCs w:val="28"/>
        </w:rPr>
        <w:t>》等系列管理制度，财务管理制度健全，建立严格的财务报销制度和严格印鉴管理机制。</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（2）资金使用合规性</w:t>
      </w:r>
    </w:p>
    <w:p>
      <w:pPr>
        <w:spacing w:line="520" w:lineRule="exact"/>
        <w:ind w:firstLine="560" w:firstLineChars="200"/>
        <w:rPr>
          <w:rFonts w:hint="eastAsia" w:ascii="仿宋" w:hAnsi="仿宋" w:eastAsia="仿宋"/>
          <w:bCs/>
          <w:sz w:val="28"/>
          <w:szCs w:val="28"/>
        </w:rPr>
      </w:pPr>
      <w:r>
        <w:rPr>
          <w:rFonts w:hint="eastAsia" w:ascii="仿宋" w:hAnsi="仿宋" w:eastAsia="仿宋"/>
          <w:bCs/>
          <w:sz w:val="28"/>
          <w:szCs w:val="28"/>
        </w:rPr>
        <w:t>项目实际支出与项目计划投入资金的用途相符，符合《中华人民共和国会计法》、《中华人民共和国预算法》和《行政单位会计制度》的规定；资金的拨付有基本的审批程序和手续；符合项目预算批复或合同规定的用途；做到了专款专用，不存在截留、挤占、挪用、虚列支出。</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（3）资金单独核算</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项目资金的会计核算严格执行了财政部颁发的《基本建设财务管理若干规定》，单独核算，按要求设置会计科目，建立账目。</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（4）财务信息质量</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预算执行和财务管理比较规范，会计资料真实，会计处理和决算报告编制符合预算法、相关会计准则和会计制度的规定。资金通过财政直接直付、授权支付或其它方式进行结算。资金拨付使用严格按照程序执行，用款申请单经用款部门和经办人提出申请，并注明用款理由和相关支出附件，经业务负责人、财务负责人、分管领导签字后通过财政直接支付或授权支付，以保证财政资金使用的安全。单位系统内部有比较完整的财务管理规定和制度，主管人员熟悉相关预算资金管理的法规；账簿及原始凭证齐全，账实相符，手续齐备，会计账务保存完整，能够比较全面反映部门资金使用的财务信息和实际状况。切实做到账簿完整、帐实相符、帐表相符、会计核算清楚规范。</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（5）项目组织实施</w:t>
      </w:r>
    </w:p>
    <w:p>
      <w:pPr>
        <w:spacing w:line="520" w:lineRule="exact"/>
        <w:ind w:firstLine="560" w:firstLineChars="200"/>
        <w:rPr>
          <w:rFonts w:hint="eastAsia" w:ascii="仿宋" w:hAnsi="仿宋" w:eastAsia="仿宋"/>
          <w:bCs/>
          <w:sz w:val="28"/>
          <w:szCs w:val="28"/>
        </w:rPr>
      </w:pPr>
      <w:r>
        <w:rPr>
          <w:rFonts w:hint="eastAsia" w:ascii="仿宋" w:hAnsi="仿宋" w:eastAsia="仿宋"/>
          <w:bCs/>
          <w:sz w:val="28"/>
          <w:szCs w:val="28"/>
        </w:rPr>
        <w:t>项目由</w:t>
      </w:r>
      <w:r>
        <w:rPr>
          <w:rFonts w:hint="eastAsia" w:ascii="仿宋" w:hAnsi="仿宋" w:eastAsia="仿宋"/>
          <w:bCs/>
          <w:sz w:val="28"/>
          <w:szCs w:val="28"/>
          <w:lang w:eastAsia="zh-CN"/>
        </w:rPr>
        <w:t>工程部</w:t>
      </w:r>
      <w:r>
        <w:rPr>
          <w:rFonts w:hint="eastAsia" w:ascii="仿宋" w:hAnsi="仿宋" w:eastAsia="仿宋"/>
          <w:bCs/>
          <w:sz w:val="28"/>
          <w:szCs w:val="28"/>
        </w:rPr>
        <w:t>负责实施，项目所需人员、设备设施等条件落实到位。项目建设单位按照要求，科学合理配置了项目管理人员，从技术力量上保证了项目的顺利开展。</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（6）基本建设程序管理</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项目均实行公开招投标、邀标或询价等供应商确定程序，与中标施工单位、监理单位签订施工合同、监理合同，施工单位按合同约定及时开工，并严格执行了安全生产制度，监理单位基本履行了相应的监理职责，工程完工后及时办理了工程结算手续和竣工验收手续。项目实施基本符合基本建设程序和国家法律法规的规定，建设资金的拨付基本符合有关管理制度的规定，基本实现项目预期目标。</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（7）项目工程质量管理</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项目建设工程质量管理贯穿项目建设的全过程，项目计划、报批、立项、论证、招标、评审、施工、审计工作验收各环节环环相扣，管理科学有序，施工环节按图作业，符合工程规范。</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（8）项目档案管理</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单位有完善的工程项目档案管理制度，严格执行档案管理要求，注重对原始资料在实施过程的收集和整理，分门别类组卷，档案资料做到真实、齐全、有效。对项目建设单位、项目监理单位、工程施工单位和跟踪审计单位移交的项目档案进行抽查，</w:t>
      </w:r>
      <w:r>
        <w:rPr>
          <w:rFonts w:hint="eastAsia" w:ascii="仿宋" w:hAnsi="仿宋" w:eastAsia="仿宋"/>
          <w:bCs/>
          <w:sz w:val="28"/>
          <w:szCs w:val="28"/>
          <w:lang w:eastAsia="zh-CN"/>
        </w:rPr>
        <w:t>符合档案管理</w:t>
      </w:r>
      <w:r>
        <w:rPr>
          <w:rFonts w:hint="eastAsia" w:ascii="仿宋" w:hAnsi="仿宋" w:eastAsia="仿宋"/>
          <w:bCs/>
          <w:sz w:val="28"/>
          <w:szCs w:val="28"/>
        </w:rPr>
        <w:t>规定，按照要求进行工程文件的移交，工程资料的形成与工程进度同步。</w:t>
      </w:r>
    </w:p>
    <w:p>
      <w:pPr>
        <w:spacing w:line="520" w:lineRule="exact"/>
        <w:ind w:firstLine="560" w:firstLineChars="200"/>
        <w:outlineLvl w:val="2"/>
        <w:rPr>
          <w:rFonts w:ascii="仿宋" w:hAnsi="仿宋" w:eastAsia="仿宋"/>
          <w:bCs/>
          <w:sz w:val="28"/>
          <w:szCs w:val="28"/>
        </w:rPr>
      </w:pPr>
      <w:bookmarkStart w:id="30" w:name="_Toc517708020"/>
      <w:r>
        <w:rPr>
          <w:rFonts w:hint="eastAsia" w:ascii="仿宋" w:hAnsi="仿宋" w:eastAsia="仿宋"/>
          <w:bCs/>
          <w:sz w:val="28"/>
          <w:szCs w:val="28"/>
        </w:rPr>
        <w:t>3.项目产出</w:t>
      </w:r>
      <w:bookmarkEnd w:id="30"/>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项目产出良好，项目在预定时间内及时实施完成，质量达标率达到预期。本项指标总分为</w:t>
      </w:r>
      <w:r>
        <w:rPr>
          <w:rFonts w:hint="eastAsia" w:ascii="仿宋" w:hAnsi="仿宋" w:eastAsia="仿宋"/>
          <w:bCs/>
          <w:sz w:val="28"/>
          <w:szCs w:val="28"/>
          <w:lang w:val="en-US" w:eastAsia="zh-CN"/>
        </w:rPr>
        <w:t>28</w:t>
      </w:r>
      <w:r>
        <w:rPr>
          <w:rFonts w:hint="eastAsia" w:ascii="仿宋" w:hAnsi="仿宋" w:eastAsia="仿宋"/>
          <w:bCs/>
          <w:sz w:val="28"/>
          <w:szCs w:val="28"/>
        </w:rPr>
        <w:t>分，实际得分达到30分，得分率</w:t>
      </w:r>
      <w:r>
        <w:rPr>
          <w:rFonts w:hint="eastAsia" w:ascii="仿宋" w:hAnsi="仿宋" w:eastAsia="仿宋"/>
          <w:bCs/>
          <w:sz w:val="28"/>
          <w:szCs w:val="28"/>
          <w:lang w:val="en-US" w:eastAsia="zh-CN"/>
        </w:rPr>
        <w:t>93.33</w:t>
      </w:r>
      <w:r>
        <w:rPr>
          <w:rFonts w:hint="eastAsia" w:ascii="仿宋" w:hAnsi="仿宋" w:eastAsia="仿宋"/>
          <w:bCs/>
          <w:sz w:val="28"/>
          <w:szCs w:val="28"/>
        </w:rPr>
        <w:t>%,项目产出具体评价如下：</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（1）工程完成率</w:t>
      </w:r>
    </w:p>
    <w:p>
      <w:pPr>
        <w:spacing w:line="520" w:lineRule="exact"/>
        <w:ind w:firstLine="560" w:firstLineChars="200"/>
        <w:rPr>
          <w:rFonts w:hint="eastAsia" w:ascii="仿宋" w:hAnsi="仿宋" w:eastAsia="仿宋"/>
          <w:bCs/>
          <w:sz w:val="28"/>
          <w:szCs w:val="28"/>
          <w:lang w:eastAsia="zh-CN"/>
        </w:rPr>
      </w:pPr>
      <w:r>
        <w:rPr>
          <w:rFonts w:hint="eastAsia" w:ascii="仿宋" w:hAnsi="仿宋" w:eastAsia="仿宋"/>
          <w:bCs/>
          <w:sz w:val="28"/>
          <w:szCs w:val="28"/>
        </w:rPr>
        <w:t>三峡后续工作长江中下游影响处理湖北武汉段一期河道整治工程主体工程</w:t>
      </w:r>
      <w:r>
        <w:rPr>
          <w:rFonts w:hint="eastAsia" w:ascii="仿宋" w:hAnsi="仿宋" w:eastAsia="仿宋"/>
          <w:bCs/>
          <w:sz w:val="28"/>
          <w:szCs w:val="28"/>
          <w:lang w:eastAsia="zh-CN"/>
        </w:rPr>
        <w:t>抛石完成</w:t>
      </w:r>
      <w:r>
        <w:rPr>
          <w:rFonts w:hint="eastAsia" w:ascii="仿宋" w:hAnsi="仿宋" w:eastAsia="仿宋"/>
          <w:bCs/>
          <w:sz w:val="28"/>
          <w:szCs w:val="28"/>
          <w:lang w:val="en-US" w:eastAsia="zh-CN"/>
        </w:rPr>
        <w:t>42万m</w:t>
      </w:r>
      <w:r>
        <w:rPr>
          <w:rFonts w:hint="eastAsia" w:ascii="仿宋" w:hAnsi="仿宋" w:eastAsia="仿宋"/>
          <w:bCs/>
          <w:sz w:val="32"/>
          <w:szCs w:val="32"/>
          <w:vertAlign w:val="superscript"/>
          <w:lang w:val="en-US" w:eastAsia="zh-CN"/>
        </w:rPr>
        <w:t>3</w:t>
      </w:r>
      <w:r>
        <w:rPr>
          <w:rFonts w:hint="eastAsia" w:ascii="仿宋" w:hAnsi="仿宋" w:eastAsia="仿宋"/>
          <w:bCs/>
          <w:sz w:val="28"/>
          <w:szCs w:val="28"/>
          <w:lang w:val="en-US" w:eastAsia="zh-CN"/>
        </w:rPr>
        <w:t>,预制块已制作完成，2017年12月正在开展脚带及护坡工程施工。</w:t>
      </w:r>
      <w:r>
        <w:rPr>
          <w:rFonts w:hint="eastAsia" w:ascii="仿宋" w:hAnsi="仿宋" w:eastAsia="仿宋"/>
          <w:bCs/>
          <w:sz w:val="28"/>
          <w:szCs w:val="28"/>
        </w:rPr>
        <w:t>武汉客运港堤段及流通巷至江汉一桥堤段防洪及环境综合整治工程建设任务</w:t>
      </w:r>
      <w:r>
        <w:rPr>
          <w:rFonts w:hint="eastAsia" w:ascii="仿宋" w:hAnsi="仿宋" w:eastAsia="仿宋"/>
          <w:bCs/>
          <w:sz w:val="28"/>
          <w:szCs w:val="28"/>
          <w:lang w:val="en-US" w:eastAsia="zh-CN"/>
        </w:rPr>
        <w:t>2016年10月开工建设，2017年主体工程已完工。</w:t>
      </w:r>
      <w:r>
        <w:rPr>
          <w:rFonts w:hint="eastAsia" w:ascii="仿宋" w:hAnsi="仿宋" w:eastAsia="仿宋"/>
          <w:bCs/>
          <w:sz w:val="28"/>
          <w:szCs w:val="28"/>
        </w:rPr>
        <w:t>武青堤（铁机路-武非闸段）武汉段江滩防洪及环境综合整治工程主体工程</w:t>
      </w:r>
      <w:r>
        <w:rPr>
          <w:rFonts w:hint="eastAsia" w:ascii="仿宋" w:hAnsi="仿宋" w:eastAsia="仿宋"/>
          <w:bCs/>
          <w:sz w:val="28"/>
          <w:szCs w:val="28"/>
          <w:lang w:eastAsia="zh-CN"/>
        </w:rPr>
        <w:t>处于“长江主轴左右岸大道”规划范围内，需调整规范方案，主体施工暂未完成。</w:t>
      </w:r>
      <w:r>
        <w:rPr>
          <w:rFonts w:hint="eastAsia" w:ascii="仿宋" w:hAnsi="仿宋" w:eastAsia="仿宋"/>
          <w:bCs/>
          <w:sz w:val="28"/>
          <w:szCs w:val="28"/>
        </w:rPr>
        <w:t>汉江沿河堤东菜园水毁整治工程、环汉口绿道（汉江六桥至舵落口段）工程、武昌市区堤鄂航码头至电厂闸口段岸坡改造及环境整治项目、堤防整险及加固</w:t>
      </w:r>
      <w:r>
        <w:rPr>
          <w:rFonts w:hint="eastAsia" w:ascii="仿宋" w:hAnsi="仿宋" w:eastAsia="仿宋"/>
          <w:bCs/>
          <w:sz w:val="28"/>
          <w:szCs w:val="28"/>
          <w:lang w:eastAsia="zh-CN"/>
        </w:rPr>
        <w:t>项目均已</w:t>
      </w:r>
      <w:r>
        <w:rPr>
          <w:rFonts w:hint="eastAsia" w:ascii="仿宋" w:hAnsi="仿宋" w:eastAsia="仿宋"/>
          <w:bCs/>
          <w:sz w:val="28"/>
          <w:szCs w:val="28"/>
        </w:rPr>
        <w:t>完成</w:t>
      </w:r>
      <w:r>
        <w:rPr>
          <w:rFonts w:hint="eastAsia" w:ascii="仿宋" w:hAnsi="仿宋" w:eastAsia="仿宋"/>
          <w:bCs/>
          <w:sz w:val="28"/>
          <w:szCs w:val="28"/>
          <w:lang w:eastAsia="zh-CN"/>
        </w:rPr>
        <w:t>。</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（2）前期工作完成率</w:t>
      </w:r>
    </w:p>
    <w:p>
      <w:pPr>
        <w:spacing w:line="520" w:lineRule="exact"/>
        <w:ind w:firstLine="560" w:firstLineChars="200"/>
        <w:rPr>
          <w:rFonts w:hint="eastAsia" w:ascii="仿宋" w:hAnsi="仿宋" w:eastAsia="仿宋"/>
          <w:bCs/>
          <w:sz w:val="28"/>
          <w:szCs w:val="28"/>
        </w:rPr>
      </w:pPr>
      <w:r>
        <w:rPr>
          <w:rFonts w:hint="eastAsia" w:ascii="仿宋" w:hAnsi="仿宋" w:eastAsia="仿宋"/>
          <w:bCs/>
          <w:sz w:val="28"/>
          <w:szCs w:val="28"/>
        </w:rPr>
        <w:t>推进汉口江滩防洪及环境（四期）综合整治工作可行性研究报告批复工作</w:t>
      </w:r>
      <w:r>
        <w:rPr>
          <w:rFonts w:hint="eastAsia" w:ascii="仿宋" w:hAnsi="仿宋" w:eastAsia="仿宋"/>
          <w:bCs/>
          <w:sz w:val="28"/>
          <w:szCs w:val="28"/>
          <w:lang w:eastAsia="zh-CN"/>
        </w:rPr>
        <w:t>已完成；</w:t>
      </w:r>
      <w:r>
        <w:rPr>
          <w:rFonts w:hint="eastAsia" w:ascii="仿宋" w:hAnsi="仿宋" w:eastAsia="仿宋"/>
          <w:bCs/>
          <w:sz w:val="28"/>
          <w:szCs w:val="28"/>
        </w:rPr>
        <w:t>按年度目标计划完成两江四岸江滩防洪及环境综合整治相关项目前期工作</w:t>
      </w:r>
      <w:r>
        <w:rPr>
          <w:rFonts w:hint="eastAsia" w:ascii="仿宋" w:hAnsi="仿宋" w:eastAsia="仿宋"/>
          <w:bCs/>
          <w:sz w:val="28"/>
          <w:szCs w:val="28"/>
          <w:lang w:eastAsia="zh-CN"/>
        </w:rPr>
        <w:t>，工程已开工建设；</w:t>
      </w:r>
      <w:r>
        <w:rPr>
          <w:rFonts w:hint="eastAsia" w:ascii="仿宋" w:hAnsi="仿宋" w:eastAsia="仿宋"/>
          <w:bCs/>
          <w:sz w:val="28"/>
          <w:szCs w:val="28"/>
        </w:rPr>
        <w:t>三峡后续工作长江中下游影响处理河道整治二期工程可研批复工作并上报初步设计报告</w:t>
      </w:r>
      <w:r>
        <w:rPr>
          <w:rFonts w:hint="eastAsia" w:ascii="仿宋" w:hAnsi="仿宋" w:eastAsia="仿宋"/>
          <w:bCs/>
          <w:sz w:val="28"/>
          <w:szCs w:val="28"/>
          <w:lang w:eastAsia="zh-CN"/>
        </w:rPr>
        <w:t>已完成，招标工作正在进行中</w:t>
      </w:r>
      <w:r>
        <w:rPr>
          <w:rFonts w:hint="eastAsia" w:ascii="仿宋" w:hAnsi="仿宋" w:eastAsia="仿宋"/>
          <w:bCs/>
          <w:sz w:val="28"/>
          <w:szCs w:val="28"/>
        </w:rPr>
        <w:t>。</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（3）质量达标率</w:t>
      </w:r>
    </w:p>
    <w:p>
      <w:pPr>
        <w:spacing w:line="520" w:lineRule="exact"/>
        <w:ind w:firstLine="560" w:firstLineChars="200"/>
        <w:rPr>
          <w:rFonts w:hint="eastAsia" w:ascii="仿宋" w:hAnsi="仿宋" w:eastAsia="仿宋"/>
          <w:bCs/>
          <w:sz w:val="28"/>
          <w:szCs w:val="28"/>
          <w:lang w:eastAsia="zh-CN"/>
        </w:rPr>
      </w:pPr>
      <w:r>
        <w:rPr>
          <w:rFonts w:hint="eastAsia" w:ascii="仿宋" w:hAnsi="仿宋" w:eastAsia="仿宋"/>
          <w:bCs/>
          <w:sz w:val="28"/>
          <w:szCs w:val="28"/>
        </w:rPr>
        <w:t>通过查阅相关质量控制轨迹，项目分部工程各验收记录符合设计要求和规范的规定，各验收记录中保证项目的质量情况符合设计要求和规范的规定，经监理单位、勘测设计单位和主管单位验收，工程达到设计标准。</w:t>
      </w:r>
    </w:p>
    <w:p>
      <w:pPr>
        <w:numPr>
          <w:ilvl w:val="0"/>
          <w:numId w:val="1"/>
        </w:numPr>
        <w:spacing w:line="520" w:lineRule="exact"/>
        <w:ind w:firstLine="560" w:firstLineChars="200"/>
        <w:rPr>
          <w:rFonts w:hint="eastAsia" w:ascii="仿宋" w:hAnsi="仿宋" w:eastAsia="仿宋"/>
          <w:bCs/>
          <w:sz w:val="28"/>
          <w:szCs w:val="28"/>
          <w:lang w:eastAsia="zh-CN"/>
        </w:rPr>
      </w:pPr>
      <w:r>
        <w:rPr>
          <w:rFonts w:hint="eastAsia" w:ascii="仿宋" w:hAnsi="仿宋" w:eastAsia="仿宋"/>
          <w:bCs/>
          <w:sz w:val="28"/>
          <w:szCs w:val="28"/>
          <w:lang w:eastAsia="zh-CN"/>
        </w:rPr>
        <w:t>主汛期前完工及时率</w:t>
      </w:r>
    </w:p>
    <w:p>
      <w:pPr>
        <w:numPr>
          <w:ilvl w:val="0"/>
          <w:numId w:val="0"/>
        </w:numPr>
        <w:spacing w:line="520" w:lineRule="exact"/>
        <w:rPr>
          <w:rFonts w:hint="eastAsia" w:ascii="仿宋" w:hAnsi="仿宋" w:eastAsia="仿宋"/>
          <w:bCs/>
          <w:sz w:val="28"/>
          <w:szCs w:val="28"/>
          <w:lang w:val="en-US" w:eastAsia="zh-CN"/>
        </w:rPr>
      </w:pPr>
      <w:r>
        <w:rPr>
          <w:rFonts w:hint="eastAsia" w:ascii="仿宋" w:hAnsi="仿宋" w:eastAsia="仿宋"/>
          <w:bCs/>
          <w:sz w:val="28"/>
          <w:szCs w:val="28"/>
          <w:lang w:val="en-US" w:eastAsia="zh-CN"/>
        </w:rPr>
        <w:t xml:space="preserve">    </w:t>
      </w:r>
      <w:r>
        <w:rPr>
          <w:rFonts w:hint="eastAsia" w:ascii="仿宋" w:hAnsi="仿宋" w:eastAsia="仿宋"/>
          <w:bCs/>
          <w:sz w:val="28"/>
          <w:szCs w:val="28"/>
        </w:rPr>
        <w:t>武昌市区堤鄂航码头至电厂闸口段岸坡改造及环境整治项目</w:t>
      </w:r>
      <w:r>
        <w:rPr>
          <w:rFonts w:hint="eastAsia" w:ascii="仿宋" w:hAnsi="仿宋" w:eastAsia="仿宋"/>
          <w:bCs/>
          <w:sz w:val="28"/>
          <w:szCs w:val="28"/>
          <w:lang w:eastAsia="zh-CN"/>
        </w:rPr>
        <w:t>已于</w:t>
      </w:r>
      <w:r>
        <w:rPr>
          <w:rFonts w:hint="eastAsia" w:ascii="仿宋" w:hAnsi="仿宋" w:eastAsia="仿宋"/>
          <w:bCs/>
          <w:sz w:val="28"/>
          <w:szCs w:val="28"/>
          <w:lang w:val="en-US" w:eastAsia="zh-CN"/>
        </w:rPr>
        <w:t>2017年6月开展了验收工作；</w:t>
      </w:r>
      <w:r>
        <w:rPr>
          <w:rFonts w:hint="eastAsia" w:ascii="仿宋" w:hAnsi="仿宋" w:eastAsia="仿宋"/>
          <w:bCs/>
          <w:sz w:val="28"/>
          <w:szCs w:val="28"/>
        </w:rPr>
        <w:t>堤防整险及加固</w:t>
      </w:r>
      <w:r>
        <w:rPr>
          <w:rFonts w:hint="eastAsia" w:ascii="仿宋" w:hAnsi="仿宋" w:eastAsia="仿宋"/>
          <w:bCs/>
          <w:sz w:val="28"/>
          <w:szCs w:val="28"/>
          <w:lang w:eastAsia="zh-CN"/>
        </w:rPr>
        <w:t>项目已在</w:t>
      </w:r>
      <w:r>
        <w:rPr>
          <w:rFonts w:hint="eastAsia" w:ascii="仿宋" w:hAnsi="仿宋" w:eastAsia="仿宋"/>
          <w:bCs/>
          <w:sz w:val="28"/>
          <w:szCs w:val="28"/>
          <w:lang w:val="en-US" w:eastAsia="zh-CN"/>
        </w:rPr>
        <w:t>7月前完工。</w:t>
      </w:r>
    </w:p>
    <w:p>
      <w:pPr>
        <w:spacing w:line="520" w:lineRule="exact"/>
        <w:ind w:firstLine="560" w:firstLineChars="200"/>
        <w:outlineLvl w:val="2"/>
        <w:rPr>
          <w:rFonts w:ascii="仿宋" w:hAnsi="仿宋" w:eastAsia="仿宋"/>
          <w:bCs/>
          <w:sz w:val="28"/>
          <w:szCs w:val="28"/>
        </w:rPr>
      </w:pPr>
      <w:bookmarkStart w:id="31" w:name="_Toc517708021"/>
      <w:r>
        <w:rPr>
          <w:rFonts w:hint="eastAsia" w:ascii="仿宋" w:hAnsi="仿宋" w:eastAsia="仿宋"/>
          <w:bCs/>
          <w:sz w:val="28"/>
          <w:szCs w:val="28"/>
        </w:rPr>
        <w:t>4.项目效果</w:t>
      </w:r>
      <w:bookmarkEnd w:id="31"/>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项目的实施</w:t>
      </w:r>
      <w:r>
        <w:rPr>
          <w:rFonts w:hint="eastAsia" w:ascii="仿宋" w:hAnsi="仿宋" w:eastAsia="仿宋"/>
          <w:bCs/>
          <w:sz w:val="28"/>
          <w:szCs w:val="28"/>
          <w:lang w:eastAsia="zh-CN"/>
        </w:rPr>
        <w:t>增加堤防防洪能力，推动我市长江主轴战略实施和区域经济发展，提升市民生活品质和幸福指数。</w:t>
      </w:r>
      <w:r>
        <w:rPr>
          <w:rFonts w:hint="eastAsia" w:ascii="仿宋" w:hAnsi="仿宋" w:eastAsia="仿宋"/>
          <w:bCs/>
          <w:sz w:val="28"/>
          <w:szCs w:val="28"/>
        </w:rPr>
        <w:t>本项指标总分为30分，实际得分达28分，得分率93.33%,项目效果具体评价如下：</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（1）防洪经济效益</w:t>
      </w:r>
    </w:p>
    <w:p>
      <w:pPr>
        <w:spacing w:line="520" w:lineRule="exact"/>
        <w:ind w:firstLine="560" w:firstLineChars="200"/>
        <w:rPr>
          <w:rFonts w:hint="eastAsia" w:ascii="仿宋" w:hAnsi="仿宋" w:eastAsia="仿宋"/>
          <w:bCs/>
          <w:sz w:val="28"/>
          <w:szCs w:val="28"/>
          <w:lang w:eastAsia="zh-CN"/>
        </w:rPr>
      </w:pPr>
      <w:r>
        <w:rPr>
          <w:rFonts w:hint="eastAsia" w:ascii="仿宋" w:hAnsi="仿宋" w:eastAsia="仿宋"/>
          <w:bCs/>
          <w:sz w:val="28"/>
          <w:szCs w:val="28"/>
          <w:lang w:eastAsia="zh-CN"/>
        </w:rPr>
        <w:t>以</w:t>
      </w:r>
      <w:r>
        <w:rPr>
          <w:rFonts w:hint="eastAsia" w:ascii="仿宋" w:hAnsi="仿宋" w:eastAsia="仿宋"/>
          <w:bCs/>
          <w:sz w:val="28"/>
          <w:szCs w:val="28"/>
        </w:rPr>
        <w:t>三峡后续工作长江中下游影响处理湖北武汉段一期河道整治工程主体工程</w:t>
      </w:r>
      <w:r>
        <w:rPr>
          <w:rFonts w:hint="eastAsia" w:ascii="仿宋" w:hAnsi="仿宋" w:eastAsia="仿宋"/>
          <w:bCs/>
          <w:sz w:val="28"/>
          <w:szCs w:val="28"/>
          <w:lang w:eastAsia="zh-CN"/>
        </w:rPr>
        <w:t>为例，该项目初步设计报告显示：据调查和统计资料分析，该堤防加固工程没投入一元约可获得多年平均防洪经济效益为</w:t>
      </w:r>
      <w:r>
        <w:rPr>
          <w:rFonts w:hint="eastAsia" w:ascii="仿宋" w:hAnsi="仿宋" w:eastAsia="仿宋"/>
          <w:bCs/>
          <w:sz w:val="28"/>
          <w:szCs w:val="28"/>
          <w:lang w:val="en-US" w:eastAsia="zh-CN"/>
        </w:rPr>
        <w:t>0.16-0.18元，考虑到在本项目工程中护岸的目的及与相关堤防安全的关联情况，根据工程静态总投资概算，测算本工程实施后多年平均所取得的防洪效益约为868万元。</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（2）生活环境改善程度</w:t>
      </w:r>
    </w:p>
    <w:p>
      <w:pPr>
        <w:spacing w:line="520" w:lineRule="exact"/>
        <w:ind w:firstLine="560" w:firstLineChars="200"/>
        <w:rPr>
          <w:rFonts w:hint="eastAsia" w:ascii="仿宋" w:hAnsi="仿宋" w:eastAsia="仿宋"/>
          <w:bCs/>
          <w:sz w:val="28"/>
          <w:szCs w:val="28"/>
          <w:lang w:eastAsia="zh-CN"/>
        </w:rPr>
      </w:pPr>
      <w:r>
        <w:rPr>
          <w:rFonts w:hint="eastAsia" w:ascii="仿宋" w:hAnsi="仿宋" w:eastAsia="仿宋"/>
          <w:bCs/>
          <w:sz w:val="28"/>
          <w:szCs w:val="28"/>
        </w:rPr>
        <w:t>项目的实施</w:t>
      </w:r>
      <w:r>
        <w:rPr>
          <w:rFonts w:hint="eastAsia" w:ascii="仿宋" w:hAnsi="仿宋" w:eastAsia="仿宋"/>
          <w:bCs/>
          <w:sz w:val="28"/>
          <w:szCs w:val="28"/>
          <w:lang w:eastAsia="zh-CN"/>
        </w:rPr>
        <w:t>增加堤防防洪能力，美化城市沿江景观，彰显城市滨江滨水生态特色，推动我市长江主轴战略实施和区域经济发展，提升市民生活品质和幸福指数。</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（3）</w:t>
      </w:r>
      <w:r>
        <w:rPr>
          <w:rFonts w:hint="eastAsia" w:ascii="仿宋" w:hAnsi="仿宋" w:eastAsia="仿宋"/>
          <w:bCs/>
          <w:sz w:val="28"/>
          <w:szCs w:val="28"/>
          <w:lang w:eastAsia="zh-CN"/>
        </w:rPr>
        <w:t>水土保持效益</w:t>
      </w:r>
    </w:p>
    <w:p>
      <w:pPr>
        <w:numPr>
          <w:ilvl w:val="0"/>
          <w:numId w:val="0"/>
        </w:numPr>
        <w:spacing w:line="360" w:lineRule="auto"/>
        <w:rPr>
          <w:rFonts w:hint="eastAsia" w:ascii="仿宋" w:hAnsi="仿宋" w:eastAsia="仿宋"/>
          <w:bCs/>
          <w:sz w:val="28"/>
          <w:szCs w:val="28"/>
          <w:lang w:val="en-US" w:eastAsia="zh-CN"/>
        </w:rPr>
      </w:pPr>
      <w:r>
        <w:rPr>
          <w:rFonts w:hint="eastAsia" w:ascii="仿宋" w:hAnsi="仿宋" w:eastAsia="仿宋"/>
          <w:bCs/>
          <w:sz w:val="28"/>
          <w:szCs w:val="28"/>
          <w:lang w:val="en-US" w:eastAsia="zh-CN"/>
        </w:rPr>
        <w:t xml:space="preserve">    </w:t>
      </w:r>
      <w:r>
        <w:rPr>
          <w:rFonts w:hint="eastAsia" w:ascii="仿宋" w:hAnsi="仿宋" w:eastAsia="仿宋"/>
          <w:bCs/>
          <w:sz w:val="28"/>
          <w:szCs w:val="28"/>
          <w:lang w:eastAsia="zh-CN"/>
        </w:rPr>
        <w:t>水土保持方案均达到</w:t>
      </w:r>
      <w:r>
        <w:rPr>
          <w:rFonts w:hint="eastAsia" w:ascii="仿宋" w:hAnsi="仿宋" w:eastAsia="仿宋"/>
          <w:bCs/>
          <w:sz w:val="28"/>
          <w:szCs w:val="28"/>
          <w:lang w:val="en-US" w:eastAsia="zh-CN"/>
        </w:rPr>
        <w:t>水土流失防治标准，以</w:t>
      </w:r>
      <w:r>
        <w:rPr>
          <w:rFonts w:hint="eastAsia" w:ascii="仿宋" w:hAnsi="仿宋" w:eastAsia="仿宋"/>
          <w:bCs/>
          <w:sz w:val="28"/>
          <w:szCs w:val="28"/>
        </w:rPr>
        <w:t>三峡后续工作长江中下游影响处理湖北武汉段一期河道整治工程主体工程</w:t>
      </w:r>
      <w:r>
        <w:rPr>
          <w:rFonts w:hint="eastAsia" w:ascii="仿宋" w:hAnsi="仿宋" w:eastAsia="仿宋"/>
          <w:bCs/>
          <w:sz w:val="28"/>
          <w:szCs w:val="28"/>
          <w:lang w:eastAsia="zh-CN"/>
        </w:rPr>
        <w:t>为例</w:t>
      </w:r>
      <w:r>
        <w:rPr>
          <w:rFonts w:hint="eastAsia" w:ascii="仿宋" w:hAnsi="仿宋" w:eastAsia="仿宋"/>
          <w:bCs/>
          <w:sz w:val="28"/>
          <w:szCs w:val="28"/>
          <w:lang w:val="en-US" w:eastAsia="zh-CN"/>
        </w:rPr>
        <w:t>，该项目水保实施方案可行性分析结论显示，方案实施后设计平均年的6项防治指标均可达到或超过目标值。</w:t>
      </w:r>
    </w:p>
    <w:p>
      <w:pPr>
        <w:spacing w:line="520" w:lineRule="exact"/>
        <w:ind w:firstLine="560" w:firstLineChars="200"/>
        <w:rPr>
          <w:rFonts w:hint="eastAsia" w:ascii="仿宋" w:hAnsi="仿宋" w:eastAsia="仿宋"/>
          <w:bCs/>
          <w:sz w:val="28"/>
          <w:szCs w:val="28"/>
        </w:rPr>
      </w:pPr>
      <w:r>
        <w:rPr>
          <w:rFonts w:hint="eastAsia" w:ascii="仿宋" w:hAnsi="仿宋" w:eastAsia="仿宋"/>
          <w:bCs/>
          <w:sz w:val="28"/>
          <w:szCs w:val="28"/>
        </w:rPr>
        <w:t>（4）运行管理部门满意度</w:t>
      </w:r>
    </w:p>
    <w:p>
      <w:pPr>
        <w:spacing w:line="520" w:lineRule="exact"/>
        <w:ind w:firstLine="560" w:firstLineChars="200"/>
        <w:rPr>
          <w:rFonts w:hint="eastAsia" w:ascii="仿宋" w:hAnsi="仿宋" w:eastAsia="仿宋"/>
          <w:bCs/>
          <w:sz w:val="28"/>
          <w:szCs w:val="28"/>
          <w:lang w:val="en-US" w:eastAsia="zh-CN"/>
        </w:rPr>
      </w:pPr>
      <w:r>
        <w:rPr>
          <w:rFonts w:hint="eastAsia" w:ascii="仿宋" w:hAnsi="仿宋" w:eastAsia="仿宋"/>
          <w:bCs/>
          <w:sz w:val="28"/>
          <w:szCs w:val="28"/>
          <w:lang w:eastAsia="zh-CN"/>
        </w:rPr>
        <w:t>武汉市江滩管理办公室、武汉市硚口区河道堤防管理所均对市堤建中心工作质量满意度达到</w:t>
      </w:r>
      <w:r>
        <w:rPr>
          <w:rFonts w:hint="eastAsia" w:ascii="仿宋" w:hAnsi="仿宋" w:eastAsia="仿宋"/>
          <w:bCs/>
          <w:sz w:val="28"/>
          <w:szCs w:val="28"/>
          <w:lang w:val="en-US" w:eastAsia="zh-CN"/>
        </w:rPr>
        <w:t>100%。</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lang w:eastAsia="zh-CN"/>
        </w:rPr>
        <w:t>（</w:t>
      </w:r>
      <w:r>
        <w:rPr>
          <w:rFonts w:hint="eastAsia" w:ascii="仿宋" w:hAnsi="仿宋" w:eastAsia="仿宋"/>
          <w:bCs/>
          <w:sz w:val="28"/>
          <w:szCs w:val="28"/>
          <w:lang w:val="en-US" w:eastAsia="zh-CN"/>
        </w:rPr>
        <w:t>5</w:t>
      </w:r>
      <w:r>
        <w:rPr>
          <w:rFonts w:hint="eastAsia" w:ascii="仿宋" w:hAnsi="仿宋" w:eastAsia="仿宋"/>
          <w:bCs/>
          <w:sz w:val="28"/>
          <w:szCs w:val="28"/>
          <w:lang w:eastAsia="zh-CN"/>
        </w:rPr>
        <w:t>）</w:t>
      </w:r>
      <w:r>
        <w:rPr>
          <w:rFonts w:hint="eastAsia" w:ascii="仿宋" w:hAnsi="仿宋" w:eastAsia="仿宋"/>
          <w:bCs/>
          <w:sz w:val="28"/>
          <w:szCs w:val="28"/>
        </w:rPr>
        <w:t>投诉件办理满意率</w:t>
      </w:r>
    </w:p>
    <w:p>
      <w:pPr>
        <w:spacing w:line="520" w:lineRule="exact"/>
        <w:ind w:firstLine="560" w:firstLineChars="200"/>
        <w:rPr>
          <w:rFonts w:ascii="仿宋" w:hAnsi="仿宋" w:eastAsia="仿宋"/>
          <w:bCs/>
          <w:sz w:val="28"/>
          <w:szCs w:val="28"/>
        </w:rPr>
      </w:pPr>
      <w:r>
        <w:rPr>
          <w:rFonts w:hint="eastAsia" w:ascii="仿宋" w:hAnsi="仿宋" w:eastAsia="仿宋"/>
          <w:sz w:val="28"/>
          <w:szCs w:val="28"/>
          <w:lang w:eastAsia="zh-CN"/>
        </w:rPr>
        <w:t>武汉市水务堤防工程建设管理中心</w:t>
      </w:r>
      <w:r>
        <w:rPr>
          <w:rFonts w:hint="eastAsia" w:ascii="仿宋" w:hAnsi="仿宋" w:eastAsia="仿宋"/>
          <w:sz w:val="28"/>
          <w:szCs w:val="28"/>
          <w:lang w:val="en-US" w:eastAsia="zh-CN"/>
        </w:rPr>
        <w:t>2017年接待办理的汉阳江滩二期种植樱花树的检验、武昌区铁机路临江达到一带修建江滩的建议等投诉件共11件，办结率及满意率均为100%</w:t>
      </w:r>
      <w:r>
        <w:rPr>
          <w:rFonts w:hint="eastAsia" w:ascii="仿宋" w:hAnsi="仿宋" w:eastAsia="仿宋"/>
          <w:bCs/>
          <w:sz w:val="28"/>
          <w:szCs w:val="28"/>
        </w:rPr>
        <w:t>。</w:t>
      </w:r>
    </w:p>
    <w:p>
      <w:pPr>
        <w:spacing w:before="156" w:beforeLines="50" w:after="156" w:afterLines="50" w:line="520" w:lineRule="exact"/>
        <w:ind w:firstLine="560" w:firstLineChars="200"/>
        <w:outlineLvl w:val="1"/>
        <w:rPr>
          <w:rFonts w:ascii="仿宋" w:hAnsi="仿宋" w:eastAsia="仿宋"/>
          <w:sz w:val="28"/>
          <w:szCs w:val="28"/>
        </w:rPr>
      </w:pPr>
      <w:bookmarkStart w:id="32" w:name="_Toc517708022"/>
      <w:r>
        <w:rPr>
          <w:rFonts w:hint="eastAsia" w:ascii="仿宋" w:hAnsi="仿宋" w:eastAsia="仿宋"/>
          <w:sz w:val="28"/>
          <w:szCs w:val="28"/>
        </w:rPr>
        <w:t>（四）评价结论</w:t>
      </w:r>
      <w:bookmarkEnd w:id="32"/>
    </w:p>
    <w:p>
      <w:pPr>
        <w:spacing w:before="156" w:beforeLines="50" w:after="156" w:afterLines="50" w:line="520" w:lineRule="exact"/>
        <w:ind w:firstLine="560" w:firstLineChars="200"/>
        <w:outlineLvl w:val="2"/>
        <w:rPr>
          <w:rFonts w:ascii="仿宋" w:hAnsi="仿宋" w:eastAsia="仿宋"/>
          <w:sz w:val="28"/>
          <w:szCs w:val="28"/>
        </w:rPr>
      </w:pPr>
      <w:bookmarkStart w:id="33" w:name="_Toc517708023"/>
      <w:r>
        <w:rPr>
          <w:rFonts w:hint="eastAsia" w:ascii="仿宋" w:hAnsi="仿宋" w:eastAsia="仿宋"/>
          <w:sz w:val="28"/>
          <w:szCs w:val="28"/>
        </w:rPr>
        <w:t>1.综合评分结果</w:t>
      </w:r>
      <w:bookmarkEnd w:id="33"/>
    </w:p>
    <w:tbl>
      <w:tblPr>
        <w:tblStyle w:val="9"/>
        <w:tblW w:w="822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992"/>
        <w:gridCol w:w="1276"/>
        <w:gridCol w:w="1417"/>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exact"/>
          <w:tblHeader/>
        </w:trPr>
        <w:tc>
          <w:tcPr>
            <w:tcW w:w="1418" w:type="dxa"/>
            <w:vAlign w:val="center"/>
          </w:tcPr>
          <w:p>
            <w:pPr>
              <w:widowControl/>
              <w:jc w:val="center"/>
              <w:rPr>
                <w:rFonts w:ascii="仿宋" w:hAnsi="仿宋" w:eastAsia="仿宋" w:cs="仿宋"/>
                <w:b/>
                <w:kern w:val="0"/>
                <w:szCs w:val="21"/>
              </w:rPr>
            </w:pPr>
            <w:r>
              <w:rPr>
                <w:rFonts w:hint="eastAsia" w:ascii="仿宋" w:hAnsi="仿宋" w:eastAsia="仿宋" w:cs="仿宋"/>
                <w:b/>
                <w:kern w:val="0"/>
                <w:szCs w:val="21"/>
              </w:rPr>
              <w:t>评价指标</w:t>
            </w:r>
          </w:p>
        </w:tc>
        <w:tc>
          <w:tcPr>
            <w:tcW w:w="992" w:type="dxa"/>
            <w:vAlign w:val="center"/>
          </w:tcPr>
          <w:p>
            <w:pPr>
              <w:widowControl/>
              <w:jc w:val="center"/>
              <w:rPr>
                <w:rFonts w:ascii="仿宋" w:hAnsi="仿宋" w:eastAsia="仿宋" w:cs="仿宋"/>
                <w:b/>
                <w:kern w:val="0"/>
                <w:szCs w:val="21"/>
              </w:rPr>
            </w:pPr>
            <w:r>
              <w:rPr>
                <w:rFonts w:hint="eastAsia" w:ascii="仿宋" w:hAnsi="仿宋" w:eastAsia="仿宋" w:cs="仿宋"/>
                <w:b/>
                <w:kern w:val="0"/>
                <w:szCs w:val="21"/>
              </w:rPr>
              <w:t>权重</w:t>
            </w:r>
          </w:p>
        </w:tc>
        <w:tc>
          <w:tcPr>
            <w:tcW w:w="1276" w:type="dxa"/>
            <w:vAlign w:val="center"/>
          </w:tcPr>
          <w:p>
            <w:pPr>
              <w:widowControl/>
              <w:jc w:val="center"/>
              <w:rPr>
                <w:rFonts w:ascii="仿宋" w:hAnsi="仿宋" w:eastAsia="仿宋" w:cs="仿宋"/>
                <w:b/>
                <w:kern w:val="0"/>
                <w:szCs w:val="21"/>
              </w:rPr>
            </w:pPr>
            <w:r>
              <w:rPr>
                <w:rFonts w:hint="eastAsia" w:ascii="仿宋" w:hAnsi="仿宋" w:eastAsia="仿宋" w:cs="仿宋"/>
                <w:b/>
                <w:kern w:val="0"/>
                <w:szCs w:val="21"/>
              </w:rPr>
              <w:t>评级分值</w:t>
            </w:r>
          </w:p>
        </w:tc>
        <w:tc>
          <w:tcPr>
            <w:tcW w:w="1417" w:type="dxa"/>
            <w:vAlign w:val="center"/>
          </w:tcPr>
          <w:p>
            <w:pPr>
              <w:widowControl/>
              <w:jc w:val="center"/>
              <w:rPr>
                <w:rFonts w:ascii="仿宋" w:hAnsi="仿宋" w:eastAsia="仿宋" w:cs="仿宋"/>
                <w:b/>
                <w:kern w:val="0"/>
                <w:szCs w:val="21"/>
              </w:rPr>
            </w:pPr>
            <w:r>
              <w:rPr>
                <w:rFonts w:hint="eastAsia" w:ascii="仿宋" w:hAnsi="仿宋" w:eastAsia="仿宋" w:cs="仿宋"/>
                <w:b/>
                <w:kern w:val="0"/>
                <w:szCs w:val="21"/>
              </w:rPr>
              <w:t>项目得分</w:t>
            </w:r>
          </w:p>
        </w:tc>
        <w:tc>
          <w:tcPr>
            <w:tcW w:w="1701" w:type="dxa"/>
            <w:vAlign w:val="center"/>
          </w:tcPr>
          <w:p>
            <w:pPr>
              <w:widowControl/>
              <w:jc w:val="center"/>
              <w:rPr>
                <w:rFonts w:ascii="仿宋" w:hAnsi="仿宋" w:eastAsia="仿宋" w:cs="仿宋"/>
                <w:b/>
                <w:kern w:val="0"/>
                <w:szCs w:val="21"/>
              </w:rPr>
            </w:pPr>
            <w:r>
              <w:rPr>
                <w:rFonts w:hint="eastAsia" w:ascii="仿宋" w:hAnsi="仿宋" w:eastAsia="仿宋" w:cs="仿宋"/>
                <w:b/>
                <w:kern w:val="0"/>
                <w:szCs w:val="21"/>
              </w:rPr>
              <w:t>得分率</w:t>
            </w:r>
          </w:p>
        </w:tc>
        <w:tc>
          <w:tcPr>
            <w:tcW w:w="1418" w:type="dxa"/>
            <w:vAlign w:val="center"/>
          </w:tcPr>
          <w:p>
            <w:pPr>
              <w:jc w:val="center"/>
              <w:rPr>
                <w:rFonts w:ascii="仿宋" w:hAnsi="仿宋" w:eastAsia="仿宋" w:cs="仿宋"/>
                <w:b/>
                <w:kern w:val="0"/>
                <w:szCs w:val="21"/>
              </w:rPr>
            </w:pPr>
            <w:r>
              <w:rPr>
                <w:rFonts w:hint="eastAsia" w:ascii="仿宋" w:hAnsi="仿宋" w:eastAsia="仿宋" w:cs="仿宋"/>
                <w:b/>
                <w:kern w:val="0"/>
                <w:szCs w:val="21"/>
              </w:rPr>
              <w:t>评价级别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exact"/>
        </w:trPr>
        <w:tc>
          <w:tcPr>
            <w:tcW w:w="1418"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项目投入</w:t>
            </w:r>
          </w:p>
        </w:tc>
        <w:tc>
          <w:tcPr>
            <w:tcW w:w="992"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12%</w:t>
            </w:r>
          </w:p>
        </w:tc>
        <w:tc>
          <w:tcPr>
            <w:tcW w:w="1276"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12</w:t>
            </w:r>
          </w:p>
        </w:tc>
        <w:tc>
          <w:tcPr>
            <w:tcW w:w="1417" w:type="dxa"/>
            <w:vAlign w:val="center"/>
          </w:tcPr>
          <w:p>
            <w:pPr>
              <w:widowControl/>
              <w:jc w:val="center"/>
              <w:rPr>
                <w:rFonts w:hint="eastAsia" w:ascii="仿宋" w:hAnsi="仿宋" w:eastAsia="仿宋" w:cs="仿宋"/>
                <w:kern w:val="0"/>
                <w:szCs w:val="21"/>
                <w:lang w:eastAsia="zh-CN"/>
              </w:rPr>
            </w:pPr>
            <w:r>
              <w:rPr>
                <w:rFonts w:hint="eastAsia" w:ascii="仿宋" w:hAnsi="仿宋" w:eastAsia="仿宋" w:cs="仿宋"/>
                <w:kern w:val="0"/>
                <w:szCs w:val="21"/>
                <w:lang w:val="en-US" w:eastAsia="zh-CN"/>
              </w:rPr>
              <w:t>9.35</w:t>
            </w:r>
          </w:p>
        </w:tc>
        <w:tc>
          <w:tcPr>
            <w:tcW w:w="1701"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lang w:val="en-US" w:eastAsia="zh-CN"/>
              </w:rPr>
              <w:t>77.92</w:t>
            </w:r>
            <w:r>
              <w:rPr>
                <w:rFonts w:hint="eastAsia" w:ascii="仿宋" w:hAnsi="仿宋" w:eastAsia="仿宋" w:cs="仿宋"/>
                <w:kern w:val="0"/>
                <w:szCs w:val="21"/>
              </w:rPr>
              <w:t>%</w:t>
            </w:r>
          </w:p>
        </w:tc>
        <w:tc>
          <w:tcPr>
            <w:tcW w:w="1418" w:type="dxa"/>
            <w:vAlign w:val="center"/>
          </w:tcPr>
          <w:p>
            <w:pPr>
              <w:jc w:val="center"/>
              <w:rPr>
                <w:rFonts w:hint="eastAsia" w:ascii="仿宋" w:hAnsi="仿宋" w:eastAsia="仿宋" w:cs="仿宋"/>
                <w:kern w:val="0"/>
                <w:szCs w:val="21"/>
                <w:lang w:eastAsia="zh-CN"/>
              </w:rPr>
            </w:pPr>
            <w:r>
              <w:rPr>
                <w:rFonts w:hint="eastAsia" w:ascii="仿宋" w:hAnsi="仿宋" w:eastAsia="仿宋" w:cs="仿宋"/>
                <w:kern w:val="0"/>
                <w:szCs w:val="21"/>
                <w:lang w:eastAsia="zh-CN"/>
              </w:rPr>
              <w:t>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exact"/>
        </w:trPr>
        <w:tc>
          <w:tcPr>
            <w:tcW w:w="1418"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项目过程</w:t>
            </w:r>
          </w:p>
        </w:tc>
        <w:tc>
          <w:tcPr>
            <w:tcW w:w="992"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28%</w:t>
            </w:r>
          </w:p>
        </w:tc>
        <w:tc>
          <w:tcPr>
            <w:tcW w:w="1276"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28</w:t>
            </w:r>
          </w:p>
        </w:tc>
        <w:tc>
          <w:tcPr>
            <w:tcW w:w="1417"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2</w:t>
            </w:r>
            <w:r>
              <w:rPr>
                <w:rFonts w:hint="eastAsia" w:ascii="仿宋" w:hAnsi="仿宋" w:eastAsia="仿宋" w:cs="仿宋"/>
                <w:kern w:val="0"/>
                <w:szCs w:val="21"/>
                <w:lang w:val="en-US" w:eastAsia="zh-CN"/>
              </w:rPr>
              <w:t>8</w:t>
            </w:r>
          </w:p>
        </w:tc>
        <w:tc>
          <w:tcPr>
            <w:tcW w:w="1701"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lang w:val="en-US" w:eastAsia="zh-CN"/>
              </w:rPr>
              <w:t>100</w:t>
            </w:r>
            <w:r>
              <w:rPr>
                <w:rFonts w:hint="eastAsia" w:ascii="仿宋" w:hAnsi="仿宋" w:eastAsia="仿宋" w:cs="仿宋"/>
                <w:kern w:val="0"/>
                <w:szCs w:val="21"/>
              </w:rPr>
              <w:t>%</w:t>
            </w:r>
          </w:p>
        </w:tc>
        <w:tc>
          <w:tcPr>
            <w:tcW w:w="1418" w:type="dxa"/>
            <w:vAlign w:val="center"/>
          </w:tcPr>
          <w:p>
            <w:pPr>
              <w:jc w:val="center"/>
              <w:rPr>
                <w:rFonts w:hint="eastAsia" w:ascii="仿宋" w:hAnsi="仿宋" w:eastAsia="仿宋" w:cs="仿宋"/>
                <w:kern w:val="0"/>
                <w:szCs w:val="21"/>
                <w:lang w:eastAsia="zh-CN"/>
              </w:rPr>
            </w:pPr>
            <w:r>
              <w:rPr>
                <w:rFonts w:hint="eastAsia" w:ascii="仿宋" w:hAnsi="仿宋" w:eastAsia="仿宋" w:cs="仿宋"/>
                <w:kern w:val="0"/>
                <w:szCs w:val="21"/>
                <w:lang w:eastAsia="zh-CN"/>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exact"/>
        </w:trPr>
        <w:tc>
          <w:tcPr>
            <w:tcW w:w="1418"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项目产出</w:t>
            </w:r>
          </w:p>
        </w:tc>
        <w:tc>
          <w:tcPr>
            <w:tcW w:w="992"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30%</w:t>
            </w:r>
          </w:p>
        </w:tc>
        <w:tc>
          <w:tcPr>
            <w:tcW w:w="1276"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30</w:t>
            </w:r>
          </w:p>
        </w:tc>
        <w:tc>
          <w:tcPr>
            <w:tcW w:w="1417" w:type="dxa"/>
            <w:vAlign w:val="center"/>
          </w:tcPr>
          <w:p>
            <w:pPr>
              <w:widowControl/>
              <w:jc w:val="center"/>
              <w:rPr>
                <w:rFonts w:hint="eastAsia" w:ascii="仿宋" w:hAnsi="仿宋" w:eastAsia="仿宋" w:cs="仿宋"/>
                <w:kern w:val="0"/>
                <w:szCs w:val="21"/>
                <w:lang w:eastAsia="zh-CN"/>
              </w:rPr>
            </w:pPr>
            <w:r>
              <w:rPr>
                <w:rFonts w:hint="eastAsia" w:ascii="仿宋" w:hAnsi="仿宋" w:eastAsia="仿宋" w:cs="仿宋"/>
                <w:kern w:val="0"/>
                <w:szCs w:val="21"/>
                <w:lang w:val="en-US" w:eastAsia="zh-CN"/>
              </w:rPr>
              <w:t>28</w:t>
            </w:r>
          </w:p>
        </w:tc>
        <w:tc>
          <w:tcPr>
            <w:tcW w:w="1701"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lang w:val="en-US" w:eastAsia="zh-CN"/>
              </w:rPr>
              <w:t>93.33</w:t>
            </w:r>
            <w:r>
              <w:rPr>
                <w:rFonts w:hint="eastAsia" w:ascii="仿宋" w:hAnsi="仿宋" w:eastAsia="仿宋" w:cs="仿宋"/>
                <w:kern w:val="0"/>
                <w:szCs w:val="21"/>
              </w:rPr>
              <w:t>%</w:t>
            </w:r>
          </w:p>
        </w:tc>
        <w:tc>
          <w:tcPr>
            <w:tcW w:w="1418" w:type="dxa"/>
            <w:vAlign w:val="center"/>
          </w:tcPr>
          <w:p>
            <w:pPr>
              <w:jc w:val="center"/>
              <w:rPr>
                <w:rFonts w:ascii="仿宋" w:hAnsi="仿宋" w:eastAsia="仿宋" w:cs="仿宋"/>
                <w:kern w:val="0"/>
                <w:szCs w:val="21"/>
              </w:rPr>
            </w:pPr>
            <w:r>
              <w:rPr>
                <w:rFonts w:hint="eastAsia" w:ascii="仿宋" w:hAnsi="仿宋" w:eastAsia="仿宋" w:cs="仿宋"/>
                <w:kern w:val="0"/>
                <w:szCs w:val="21"/>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7" w:hRule="exact"/>
        </w:trPr>
        <w:tc>
          <w:tcPr>
            <w:tcW w:w="1418"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项目效果</w:t>
            </w:r>
          </w:p>
        </w:tc>
        <w:tc>
          <w:tcPr>
            <w:tcW w:w="992"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30%</w:t>
            </w:r>
          </w:p>
        </w:tc>
        <w:tc>
          <w:tcPr>
            <w:tcW w:w="1276"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30</w:t>
            </w:r>
          </w:p>
        </w:tc>
        <w:tc>
          <w:tcPr>
            <w:tcW w:w="1417"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28</w:t>
            </w:r>
          </w:p>
        </w:tc>
        <w:tc>
          <w:tcPr>
            <w:tcW w:w="1701"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93.33%</w:t>
            </w:r>
          </w:p>
        </w:tc>
        <w:tc>
          <w:tcPr>
            <w:tcW w:w="1418" w:type="dxa"/>
            <w:vAlign w:val="center"/>
          </w:tcPr>
          <w:p>
            <w:pPr>
              <w:jc w:val="center"/>
              <w:rPr>
                <w:rFonts w:ascii="仿宋" w:hAnsi="仿宋" w:eastAsia="仿宋" w:cs="仿宋"/>
                <w:kern w:val="0"/>
                <w:szCs w:val="21"/>
              </w:rPr>
            </w:pPr>
            <w:r>
              <w:rPr>
                <w:rFonts w:hint="eastAsia" w:ascii="仿宋" w:hAnsi="仿宋" w:eastAsia="仿宋" w:cs="仿宋"/>
                <w:kern w:val="0"/>
                <w:szCs w:val="21"/>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418"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综合绩效</w:t>
            </w:r>
          </w:p>
        </w:tc>
        <w:tc>
          <w:tcPr>
            <w:tcW w:w="992"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100%</w:t>
            </w:r>
          </w:p>
        </w:tc>
        <w:tc>
          <w:tcPr>
            <w:tcW w:w="1276"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100</w:t>
            </w:r>
          </w:p>
        </w:tc>
        <w:tc>
          <w:tcPr>
            <w:tcW w:w="1417"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93.</w:t>
            </w:r>
            <w:r>
              <w:rPr>
                <w:rFonts w:hint="eastAsia" w:ascii="仿宋" w:hAnsi="仿宋" w:eastAsia="仿宋" w:cs="仿宋"/>
                <w:kern w:val="0"/>
                <w:szCs w:val="21"/>
                <w:lang w:val="en-US" w:eastAsia="zh-CN"/>
              </w:rPr>
              <w:t>35</w:t>
            </w:r>
          </w:p>
        </w:tc>
        <w:tc>
          <w:tcPr>
            <w:tcW w:w="1701" w:type="dxa"/>
            <w:vAlign w:val="center"/>
          </w:tcPr>
          <w:p>
            <w:pPr>
              <w:widowControl/>
              <w:jc w:val="center"/>
              <w:rPr>
                <w:rFonts w:ascii="仿宋" w:hAnsi="仿宋" w:eastAsia="仿宋" w:cs="仿宋"/>
                <w:kern w:val="0"/>
                <w:szCs w:val="21"/>
              </w:rPr>
            </w:pPr>
            <w:r>
              <w:rPr>
                <w:rFonts w:hint="eastAsia" w:ascii="仿宋" w:hAnsi="仿宋" w:eastAsia="仿宋" w:cs="仿宋"/>
                <w:kern w:val="0"/>
                <w:szCs w:val="21"/>
              </w:rPr>
              <w:t>93.</w:t>
            </w:r>
            <w:r>
              <w:rPr>
                <w:rFonts w:hint="eastAsia" w:ascii="仿宋" w:hAnsi="仿宋" w:eastAsia="仿宋" w:cs="仿宋"/>
                <w:kern w:val="0"/>
                <w:szCs w:val="21"/>
                <w:lang w:val="en-US" w:eastAsia="zh-CN"/>
              </w:rPr>
              <w:t>35</w:t>
            </w:r>
            <w:r>
              <w:rPr>
                <w:rFonts w:hint="eastAsia" w:ascii="仿宋" w:hAnsi="仿宋" w:eastAsia="仿宋" w:cs="仿宋"/>
                <w:kern w:val="0"/>
                <w:szCs w:val="21"/>
              </w:rPr>
              <w:t>%</w:t>
            </w:r>
          </w:p>
        </w:tc>
        <w:tc>
          <w:tcPr>
            <w:tcW w:w="1418" w:type="dxa"/>
            <w:vAlign w:val="center"/>
          </w:tcPr>
          <w:p>
            <w:pPr>
              <w:jc w:val="center"/>
              <w:rPr>
                <w:rFonts w:ascii="仿宋" w:hAnsi="仿宋" w:eastAsia="仿宋" w:cs="仿宋"/>
                <w:kern w:val="0"/>
                <w:szCs w:val="21"/>
              </w:rPr>
            </w:pPr>
            <w:r>
              <w:rPr>
                <w:rFonts w:hint="eastAsia" w:ascii="仿宋" w:hAnsi="仿宋" w:eastAsia="仿宋" w:cs="仿宋"/>
                <w:kern w:val="0"/>
                <w:szCs w:val="21"/>
              </w:rPr>
              <w:t>优</w:t>
            </w:r>
          </w:p>
        </w:tc>
      </w:tr>
    </w:tbl>
    <w:p>
      <w:pPr>
        <w:spacing w:line="520" w:lineRule="exact"/>
        <w:ind w:firstLine="560" w:firstLineChars="200"/>
        <w:rPr>
          <w:rFonts w:hint="eastAsia" w:ascii="仿宋" w:hAnsi="仿宋" w:eastAsia="仿宋"/>
          <w:bCs/>
          <w:sz w:val="28"/>
          <w:szCs w:val="28"/>
          <w:lang w:eastAsia="zh-CN"/>
        </w:rPr>
      </w:pPr>
      <w:r>
        <w:rPr>
          <w:rFonts w:hint="eastAsia" w:ascii="仿宋" w:hAnsi="仿宋" w:eastAsia="仿宋"/>
          <w:bCs/>
          <w:sz w:val="28"/>
          <w:szCs w:val="28"/>
        </w:rPr>
        <w:t>从投入来看，项目立项依据充分，立项申请符合规定，可研报告内容完整，编制科学、实事求是，项目资金按计划投入到位，资金拨付及时</w:t>
      </w:r>
      <w:r>
        <w:rPr>
          <w:rFonts w:hint="eastAsia" w:ascii="仿宋" w:hAnsi="仿宋" w:eastAsia="仿宋"/>
          <w:bCs/>
          <w:sz w:val="28"/>
          <w:szCs w:val="28"/>
          <w:lang w:eastAsia="zh-CN"/>
        </w:rPr>
        <w:t>。</w:t>
      </w:r>
    </w:p>
    <w:p>
      <w:pPr>
        <w:spacing w:line="520" w:lineRule="exact"/>
        <w:ind w:firstLine="560" w:firstLineChars="200"/>
        <w:rPr>
          <w:rFonts w:hint="eastAsia" w:ascii="仿宋" w:hAnsi="仿宋" w:eastAsia="仿宋"/>
          <w:bCs/>
          <w:sz w:val="28"/>
          <w:szCs w:val="28"/>
        </w:rPr>
      </w:pPr>
      <w:r>
        <w:rPr>
          <w:rFonts w:hint="eastAsia" w:ascii="仿宋" w:hAnsi="仿宋" w:eastAsia="仿宋"/>
          <w:bCs/>
          <w:sz w:val="28"/>
          <w:szCs w:val="28"/>
        </w:rPr>
        <w:t>从过程来看，项目资金使用按照计划执行，符合国家财经法规和财务管理制度以及有关专项资管理办法的规定。项目资金拨付与使用有基本的审批流程和手续。项目管理所需人员、设备设施等条件落实到位，项目基本建设程序管理、项目工程质量管理健全且得到执行。</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从产出来看，项目产出良好，项目在预定时间内及时实施完成，质量达标率达到预期。</w:t>
      </w:r>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从效果来看，项目的实施</w:t>
      </w:r>
      <w:r>
        <w:rPr>
          <w:rFonts w:hint="eastAsia" w:ascii="仿宋" w:hAnsi="仿宋" w:eastAsia="仿宋"/>
          <w:bCs/>
          <w:sz w:val="28"/>
          <w:szCs w:val="28"/>
          <w:lang w:eastAsia="zh-CN"/>
        </w:rPr>
        <w:t>增加堤防防洪能力，推动我市长江主轴战略实施和区域经济发展，提升市民生活品质和幸福指数。</w:t>
      </w:r>
    </w:p>
    <w:p>
      <w:pPr>
        <w:spacing w:line="520" w:lineRule="exact"/>
        <w:ind w:firstLine="560" w:firstLineChars="200"/>
        <w:outlineLvl w:val="2"/>
        <w:rPr>
          <w:rFonts w:ascii="仿宋" w:hAnsi="仿宋" w:eastAsia="仿宋"/>
          <w:bCs/>
          <w:sz w:val="28"/>
          <w:szCs w:val="28"/>
        </w:rPr>
      </w:pPr>
      <w:bookmarkStart w:id="34" w:name="_Toc517708024"/>
      <w:r>
        <w:rPr>
          <w:rFonts w:hint="eastAsia" w:ascii="仿宋" w:hAnsi="仿宋" w:eastAsia="仿宋"/>
          <w:bCs/>
          <w:sz w:val="28"/>
          <w:szCs w:val="28"/>
        </w:rPr>
        <w:t>2.主要结论</w:t>
      </w:r>
      <w:bookmarkEnd w:id="34"/>
    </w:p>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本次项目绩效评价结果为“优”。项目符合城市发展政策，项目立项依据充分；财务和工程管理工作有效；工程建设完成情况、完成及时情况和质量达计划目标；项目社会效益、环境效益明显。项目实施后</w:t>
      </w:r>
      <w:r>
        <w:rPr>
          <w:rFonts w:hint="eastAsia" w:ascii="仿宋" w:hAnsi="仿宋" w:eastAsia="仿宋"/>
          <w:bCs/>
          <w:sz w:val="28"/>
          <w:szCs w:val="28"/>
          <w:lang w:eastAsia="zh-CN"/>
        </w:rPr>
        <w:t>增加堤防防洪能力，推动我市长江主轴战略实施和区域经济发展，提升市民生活品质和幸福指数。</w:t>
      </w:r>
    </w:p>
    <w:p>
      <w:pPr>
        <w:spacing w:line="520" w:lineRule="exact"/>
        <w:ind w:firstLine="560" w:firstLineChars="200"/>
        <w:outlineLvl w:val="0"/>
        <w:rPr>
          <w:rFonts w:ascii="黑体" w:hAnsi="黑体" w:eastAsia="黑体" w:cs="黑体"/>
          <w:sz w:val="28"/>
          <w:szCs w:val="28"/>
        </w:rPr>
      </w:pPr>
      <w:bookmarkStart w:id="35" w:name="_Toc511502547"/>
      <w:bookmarkStart w:id="36" w:name="_Toc7491"/>
      <w:bookmarkStart w:id="37" w:name="_Toc517708025"/>
      <w:r>
        <w:rPr>
          <w:rFonts w:hint="eastAsia" w:ascii="黑体" w:hAnsi="黑体" w:eastAsia="黑体" w:cs="黑体"/>
          <w:sz w:val="28"/>
          <w:szCs w:val="28"/>
        </w:rPr>
        <w:t>四、主要经验及做法、存在的问题</w:t>
      </w:r>
      <w:bookmarkEnd w:id="35"/>
      <w:bookmarkEnd w:id="36"/>
      <w:bookmarkEnd w:id="37"/>
    </w:p>
    <w:p>
      <w:pPr>
        <w:spacing w:line="520" w:lineRule="exact"/>
        <w:ind w:firstLine="560" w:firstLineChars="200"/>
        <w:outlineLvl w:val="1"/>
        <w:rPr>
          <w:rFonts w:ascii="仿宋" w:hAnsi="仿宋" w:eastAsia="仿宋"/>
          <w:bCs/>
          <w:sz w:val="28"/>
          <w:szCs w:val="28"/>
          <w:highlight w:val="yellow"/>
        </w:rPr>
      </w:pPr>
      <w:bookmarkStart w:id="38" w:name="_Toc511502548"/>
      <w:bookmarkStart w:id="39" w:name="_Toc517708026"/>
      <w:bookmarkStart w:id="40" w:name="_Toc590"/>
      <w:r>
        <w:rPr>
          <w:rFonts w:hint="eastAsia" w:ascii="仿宋" w:hAnsi="仿宋" w:eastAsia="仿宋"/>
          <w:bCs/>
          <w:sz w:val="28"/>
          <w:szCs w:val="28"/>
        </w:rPr>
        <w:t>（一）主要经验及做法</w:t>
      </w:r>
      <w:bookmarkEnd w:id="38"/>
      <w:bookmarkEnd w:id="39"/>
      <w:bookmarkEnd w:id="40"/>
    </w:p>
    <w:p>
      <w:pPr>
        <w:spacing w:line="520" w:lineRule="exact"/>
        <w:ind w:firstLine="640"/>
        <w:rPr>
          <w:rFonts w:hint="eastAsia" w:ascii="仿宋" w:hAnsi="仿宋" w:eastAsia="仿宋"/>
          <w:sz w:val="28"/>
          <w:szCs w:val="28"/>
        </w:rPr>
      </w:pPr>
      <w:bookmarkStart w:id="41" w:name="_Toc517708027"/>
      <w:r>
        <w:rPr>
          <w:rFonts w:hint="eastAsia" w:ascii="仿宋" w:hAnsi="仿宋" w:eastAsia="仿宋"/>
          <w:sz w:val="28"/>
          <w:szCs w:val="28"/>
        </w:rPr>
        <w:t>1、抓关键</w:t>
      </w:r>
      <w:r>
        <w:rPr>
          <w:rFonts w:hint="eastAsia" w:ascii="仿宋" w:hAnsi="仿宋" w:eastAsia="仿宋"/>
          <w:sz w:val="28"/>
          <w:szCs w:val="28"/>
          <w:lang w:eastAsia="zh-CN"/>
        </w:rPr>
        <w:t>、</w:t>
      </w:r>
      <w:r>
        <w:rPr>
          <w:rFonts w:hint="eastAsia" w:ascii="仿宋" w:hAnsi="仿宋" w:eastAsia="仿宋"/>
          <w:sz w:val="28"/>
          <w:szCs w:val="28"/>
        </w:rPr>
        <w:t>健全班子。</w:t>
      </w:r>
    </w:p>
    <w:p>
      <w:pPr>
        <w:spacing w:line="520" w:lineRule="exact"/>
        <w:ind w:firstLine="640"/>
        <w:rPr>
          <w:rFonts w:hint="eastAsia" w:ascii="仿宋" w:hAnsi="仿宋" w:eastAsia="仿宋"/>
          <w:sz w:val="28"/>
          <w:szCs w:val="28"/>
        </w:rPr>
      </w:pPr>
      <w:r>
        <w:rPr>
          <w:rFonts w:hint="eastAsia" w:ascii="仿宋" w:hAnsi="仿宋" w:eastAsia="仿宋"/>
          <w:sz w:val="28"/>
          <w:szCs w:val="28"/>
        </w:rPr>
        <w:t>班子健全与否关系到项目管理工作的成败，我们实行了项目负责制，每个项目委派专人负责，明确相应职责，确保工作的顺利开展。</w:t>
      </w:r>
    </w:p>
    <w:p>
      <w:pPr>
        <w:spacing w:line="520" w:lineRule="exact"/>
        <w:ind w:firstLine="640"/>
        <w:rPr>
          <w:rFonts w:hint="eastAsia" w:ascii="仿宋" w:hAnsi="仿宋" w:eastAsia="仿宋"/>
          <w:sz w:val="28"/>
          <w:szCs w:val="28"/>
        </w:rPr>
      </w:pPr>
      <w:r>
        <w:rPr>
          <w:rFonts w:hint="eastAsia" w:ascii="仿宋" w:hAnsi="仿宋" w:eastAsia="仿宋"/>
          <w:sz w:val="28"/>
          <w:szCs w:val="28"/>
        </w:rPr>
        <w:t>2、抓素质</w:t>
      </w:r>
      <w:r>
        <w:rPr>
          <w:rFonts w:hint="eastAsia" w:ascii="仿宋" w:hAnsi="仿宋" w:eastAsia="仿宋"/>
          <w:sz w:val="28"/>
          <w:szCs w:val="28"/>
          <w:lang w:eastAsia="zh-CN"/>
        </w:rPr>
        <w:t>、</w:t>
      </w:r>
      <w:r>
        <w:rPr>
          <w:rFonts w:hint="eastAsia" w:ascii="仿宋" w:hAnsi="仿宋" w:eastAsia="仿宋"/>
          <w:sz w:val="28"/>
          <w:szCs w:val="28"/>
        </w:rPr>
        <w:t>强化队伍。</w:t>
      </w:r>
    </w:p>
    <w:p>
      <w:pPr>
        <w:spacing w:line="520" w:lineRule="exact"/>
        <w:ind w:firstLine="640"/>
        <w:rPr>
          <w:rFonts w:hint="eastAsia" w:ascii="仿宋" w:hAnsi="仿宋" w:eastAsia="仿宋"/>
          <w:sz w:val="28"/>
          <w:szCs w:val="28"/>
        </w:rPr>
      </w:pPr>
      <w:r>
        <w:rPr>
          <w:rFonts w:hint="eastAsia" w:ascii="仿宋" w:hAnsi="仿宋" w:eastAsia="仿宋"/>
          <w:sz w:val="28"/>
          <w:szCs w:val="28"/>
        </w:rPr>
        <w:t>队伍素质的强弱关系到项目管理工作的质量。我们多次组织集中培训、特别注重员工的业务学习，努力提高自身业务素质。培养了一批思想、技术过硬的骨干队伍。</w:t>
      </w:r>
    </w:p>
    <w:p>
      <w:pPr>
        <w:spacing w:line="520" w:lineRule="exact"/>
        <w:ind w:firstLine="640"/>
        <w:rPr>
          <w:rFonts w:hint="eastAsia" w:ascii="仿宋" w:hAnsi="仿宋" w:eastAsia="仿宋"/>
          <w:sz w:val="28"/>
          <w:szCs w:val="28"/>
        </w:rPr>
      </w:pPr>
      <w:r>
        <w:rPr>
          <w:rFonts w:hint="eastAsia" w:ascii="仿宋" w:hAnsi="仿宋" w:eastAsia="仿宋"/>
          <w:sz w:val="28"/>
          <w:szCs w:val="28"/>
          <w:lang w:val="en-US" w:eastAsia="zh-CN"/>
        </w:rPr>
        <w:t>3、</w:t>
      </w:r>
      <w:r>
        <w:rPr>
          <w:rFonts w:hint="eastAsia" w:ascii="仿宋" w:hAnsi="仿宋" w:eastAsia="仿宋"/>
          <w:sz w:val="28"/>
          <w:szCs w:val="28"/>
        </w:rPr>
        <w:t>抓重点</w:t>
      </w:r>
      <w:r>
        <w:rPr>
          <w:rFonts w:hint="eastAsia" w:ascii="仿宋" w:hAnsi="仿宋" w:eastAsia="仿宋"/>
          <w:sz w:val="28"/>
          <w:szCs w:val="28"/>
          <w:lang w:eastAsia="zh-CN"/>
        </w:rPr>
        <w:t>、</w:t>
      </w:r>
      <w:r>
        <w:rPr>
          <w:rFonts w:hint="eastAsia" w:ascii="仿宋" w:hAnsi="仿宋" w:eastAsia="仿宋"/>
          <w:sz w:val="28"/>
          <w:szCs w:val="28"/>
        </w:rPr>
        <w:t>注重质量。</w:t>
      </w:r>
    </w:p>
    <w:p>
      <w:pPr>
        <w:spacing w:line="520" w:lineRule="exact"/>
        <w:ind w:firstLine="640"/>
        <w:rPr>
          <w:rFonts w:hint="eastAsia" w:ascii="仿宋" w:hAnsi="仿宋" w:eastAsia="仿宋"/>
          <w:sz w:val="28"/>
          <w:szCs w:val="28"/>
        </w:rPr>
      </w:pPr>
      <w:r>
        <w:rPr>
          <w:rFonts w:hint="eastAsia" w:ascii="仿宋" w:hAnsi="仿宋" w:eastAsia="仿宋"/>
          <w:sz w:val="28"/>
          <w:szCs w:val="28"/>
        </w:rPr>
        <w:t>工程质量不仅关系到工程的使用和投资效益，还关系到人民群众的生命财产安全。抓好质量控制是我们工作的重中之中，贯穿到整个项目的始终。我们一方面严格执行国家有关质量管理的严格规定，强化项目法人的主题责任；另一方面引入第三方加强质量控制，实行了质量监督机制和监理制度；我们还注重过程管理，抓好各环节的质量控制工作。</w:t>
      </w:r>
    </w:p>
    <w:p>
      <w:pPr>
        <w:spacing w:line="520" w:lineRule="exact"/>
        <w:ind w:firstLine="640"/>
        <w:rPr>
          <w:rFonts w:hint="eastAsia" w:ascii="仿宋" w:hAnsi="仿宋" w:eastAsia="仿宋"/>
          <w:sz w:val="28"/>
          <w:szCs w:val="28"/>
        </w:rPr>
      </w:pPr>
      <w:r>
        <w:rPr>
          <w:rFonts w:hint="eastAsia" w:ascii="仿宋" w:hAnsi="仿宋" w:eastAsia="仿宋"/>
          <w:sz w:val="28"/>
          <w:szCs w:val="28"/>
          <w:lang w:val="en-US" w:eastAsia="zh-CN"/>
        </w:rPr>
        <w:t>4、</w:t>
      </w:r>
      <w:r>
        <w:rPr>
          <w:rFonts w:hint="eastAsia" w:ascii="仿宋" w:hAnsi="仿宋" w:eastAsia="仿宋"/>
          <w:sz w:val="28"/>
          <w:szCs w:val="28"/>
        </w:rPr>
        <w:t>抓责任</w:t>
      </w:r>
      <w:r>
        <w:rPr>
          <w:rFonts w:hint="eastAsia" w:ascii="仿宋" w:hAnsi="仿宋" w:eastAsia="仿宋"/>
          <w:sz w:val="28"/>
          <w:szCs w:val="28"/>
          <w:lang w:eastAsia="zh-CN"/>
        </w:rPr>
        <w:t>、</w:t>
      </w:r>
      <w:r>
        <w:rPr>
          <w:rFonts w:hint="eastAsia" w:ascii="仿宋" w:hAnsi="仿宋" w:eastAsia="仿宋"/>
          <w:sz w:val="28"/>
          <w:szCs w:val="28"/>
        </w:rPr>
        <w:t>保证安全。</w:t>
      </w:r>
    </w:p>
    <w:p>
      <w:pPr>
        <w:spacing w:line="520" w:lineRule="exact"/>
        <w:ind w:firstLine="640"/>
        <w:rPr>
          <w:rFonts w:hint="eastAsia" w:ascii="仿宋" w:hAnsi="仿宋" w:eastAsia="仿宋"/>
          <w:sz w:val="28"/>
          <w:szCs w:val="28"/>
        </w:rPr>
      </w:pPr>
      <w:r>
        <w:rPr>
          <w:rFonts w:hint="eastAsia" w:ascii="仿宋" w:hAnsi="仿宋" w:eastAsia="仿宋"/>
          <w:sz w:val="28"/>
          <w:szCs w:val="28"/>
        </w:rPr>
        <w:t>安全生产无小事事关重大，是摆在我们工作中的重要课题。我们不断强化安全宣传，提高参建各方的安全意识，同时加强了制度建设和合同管理，我们和参建各方签订了安全生产协议，明确了各自的责任和义务。我们采取会议、布置展板、安全月大检查等多种形式，定期或不定期进行安全检查，发现问题及时整改和处理，努力做好安全生产工作。</w:t>
      </w:r>
    </w:p>
    <w:p>
      <w:pPr>
        <w:spacing w:line="520" w:lineRule="exact"/>
        <w:ind w:firstLine="560" w:firstLineChars="200"/>
        <w:outlineLvl w:val="1"/>
        <w:rPr>
          <w:rFonts w:ascii="仿宋" w:hAnsi="仿宋" w:eastAsia="仿宋"/>
          <w:bCs/>
          <w:sz w:val="28"/>
          <w:szCs w:val="28"/>
        </w:rPr>
      </w:pPr>
      <w:r>
        <w:rPr>
          <w:rFonts w:hint="eastAsia" w:ascii="仿宋" w:hAnsi="仿宋" w:eastAsia="仿宋"/>
          <w:bCs/>
          <w:sz w:val="28"/>
          <w:szCs w:val="28"/>
        </w:rPr>
        <w:t>（二）主要问题</w:t>
      </w:r>
      <w:bookmarkEnd w:id="41"/>
    </w:p>
    <w:p>
      <w:pPr>
        <w:spacing w:line="520" w:lineRule="exact"/>
        <w:ind w:firstLine="640"/>
        <w:rPr>
          <w:rFonts w:ascii="仿宋" w:hAnsi="仿宋" w:eastAsia="仿宋"/>
          <w:sz w:val="28"/>
          <w:szCs w:val="28"/>
        </w:rPr>
      </w:pPr>
      <w:r>
        <w:rPr>
          <w:rFonts w:hint="eastAsia" w:ascii="仿宋" w:hAnsi="仿宋" w:eastAsia="仿宋"/>
          <w:sz w:val="28"/>
          <w:szCs w:val="28"/>
        </w:rPr>
        <w:t>项目申报文本中项目支出测算依据及说明不具体，未对项目支出内容进行细化测算。</w:t>
      </w:r>
    </w:p>
    <w:p>
      <w:pPr>
        <w:spacing w:line="520" w:lineRule="exact"/>
        <w:ind w:firstLine="560" w:firstLineChars="200"/>
        <w:outlineLvl w:val="0"/>
        <w:rPr>
          <w:rFonts w:ascii="黑体" w:hAnsi="黑体" w:eastAsia="黑体" w:cs="黑体"/>
          <w:sz w:val="28"/>
          <w:szCs w:val="28"/>
        </w:rPr>
      </w:pPr>
      <w:bookmarkStart w:id="42" w:name="_Toc517708028"/>
      <w:bookmarkStart w:id="43" w:name="_Toc511502550"/>
      <w:bookmarkStart w:id="44" w:name="_Toc31947"/>
      <w:r>
        <w:rPr>
          <w:rFonts w:hint="eastAsia" w:ascii="黑体" w:hAnsi="黑体" w:eastAsia="黑体" w:cs="黑体"/>
          <w:sz w:val="28"/>
          <w:szCs w:val="28"/>
        </w:rPr>
        <w:t>五、建议</w:t>
      </w:r>
      <w:bookmarkEnd w:id="42"/>
      <w:bookmarkEnd w:id="43"/>
    </w:p>
    <w:bookmarkEnd w:id="44"/>
    <w:p>
      <w:pPr>
        <w:spacing w:line="520" w:lineRule="exact"/>
        <w:ind w:firstLine="560" w:firstLineChars="200"/>
        <w:rPr>
          <w:rFonts w:ascii="仿宋" w:hAnsi="仿宋" w:eastAsia="仿宋"/>
          <w:bCs/>
          <w:sz w:val="28"/>
          <w:szCs w:val="28"/>
        </w:rPr>
      </w:pPr>
      <w:r>
        <w:rPr>
          <w:rFonts w:hint="eastAsia" w:ascii="仿宋" w:hAnsi="仿宋" w:eastAsia="仿宋"/>
          <w:bCs/>
          <w:sz w:val="28"/>
          <w:szCs w:val="28"/>
        </w:rPr>
        <w:t>加强对《预算法》、《会计法》等法律法规的学习宣传力度，落实部门预算编制的主体责任。要在区预算部门开展多种形式的《预算法》学习宣传活动，提高部门工作人员的预算法定意识、资金绩效意识、花钱责任意识，明确部门对预算编制的真实性、准确性、完整性负有的法定责任，增强机关工作人员的预算编制参与度，准确、合理编制项目绩效目标。</w:t>
      </w:r>
    </w:p>
    <w:p>
      <w:pPr>
        <w:spacing w:line="520" w:lineRule="exact"/>
        <w:ind w:firstLine="560" w:firstLineChars="200"/>
        <w:outlineLvl w:val="0"/>
        <w:rPr>
          <w:rFonts w:ascii="黑体" w:hAnsi="黑体" w:eastAsia="黑体" w:cs="黑体"/>
          <w:sz w:val="28"/>
          <w:szCs w:val="28"/>
        </w:rPr>
      </w:pPr>
      <w:bookmarkStart w:id="45" w:name="_Toc517708029"/>
      <w:bookmarkStart w:id="46" w:name="_Toc511502553"/>
      <w:bookmarkStart w:id="47" w:name="_Toc22970"/>
      <w:r>
        <w:rPr>
          <w:rFonts w:hint="eastAsia" w:ascii="黑体" w:hAnsi="黑体" w:eastAsia="黑体" w:cs="黑体"/>
          <w:sz w:val="28"/>
          <w:szCs w:val="28"/>
        </w:rPr>
        <w:t>六、其他需说明的问题</w:t>
      </w:r>
      <w:bookmarkEnd w:id="45"/>
      <w:bookmarkEnd w:id="46"/>
      <w:bookmarkEnd w:id="47"/>
    </w:p>
    <w:p>
      <w:pPr>
        <w:spacing w:line="520" w:lineRule="exact"/>
        <w:ind w:firstLine="560" w:firstLineChars="200"/>
        <w:rPr>
          <w:rFonts w:ascii="仿宋" w:hAnsi="仿宋" w:eastAsia="仿宋"/>
          <w:sz w:val="28"/>
          <w:szCs w:val="28"/>
        </w:rPr>
      </w:pPr>
      <w:r>
        <w:rPr>
          <w:rFonts w:hint="eastAsia" w:ascii="仿宋" w:hAnsi="仿宋" w:eastAsia="仿宋"/>
          <w:sz w:val="28"/>
          <w:szCs w:val="28"/>
        </w:rPr>
        <w:t>部分项目绩效很难在短期内体现出来，一是项目效益是长期的过程，并非所有的投入当年就能见效，很难在短期内见到的效果；二是项目的效益难以准确定量衡量。</w:t>
      </w:r>
    </w:p>
    <w:p>
      <w:pPr>
        <w:ind w:firstLine="560" w:firstLineChars="200"/>
        <w:rPr>
          <w:rFonts w:hint="eastAsia" w:ascii="仿宋" w:hAnsi="仿宋" w:eastAsia="仿宋"/>
          <w:sz w:val="28"/>
          <w:szCs w:val="28"/>
          <w:lang w:val="en-US" w:eastAsia="zh-CN"/>
        </w:rPr>
      </w:pPr>
      <w:bookmarkStart w:id="48" w:name="_Toc517708030"/>
      <w:bookmarkStart w:id="49" w:name="_Toc511502554"/>
      <w:r>
        <w:rPr>
          <w:rFonts w:hint="eastAsia" w:ascii="仿宋" w:hAnsi="仿宋" w:eastAsia="仿宋"/>
          <w:sz w:val="28"/>
          <w:szCs w:val="28"/>
          <w:lang w:val="en-US" w:eastAsia="zh-CN"/>
        </w:rPr>
        <w:t xml:space="preserve"> </w:t>
      </w:r>
      <w:bookmarkEnd w:id="48"/>
      <w:bookmarkEnd w:id="49"/>
      <w:r>
        <w:rPr>
          <w:rFonts w:hint="eastAsia" w:ascii="黑体" w:hAnsi="黑体" w:eastAsia="黑体" w:cs="黑体"/>
          <w:sz w:val="28"/>
          <w:szCs w:val="28"/>
          <w:lang w:val="en-US" w:eastAsia="zh-CN"/>
        </w:rPr>
        <w:t xml:space="preserve"> </w:t>
      </w:r>
    </w:p>
    <w:p>
      <w:pPr>
        <w:ind w:firstLine="3500" w:firstLineChars="1250"/>
        <w:rPr>
          <w:rFonts w:ascii="仿宋" w:hAnsi="仿宋" w:eastAsia="仿宋"/>
          <w:sz w:val="28"/>
          <w:szCs w:val="28"/>
        </w:rPr>
      </w:pPr>
    </w:p>
    <w:p>
      <w:pPr>
        <w:ind w:firstLine="3500" w:firstLineChars="1250"/>
        <w:rPr>
          <w:rFonts w:ascii="仿宋" w:hAnsi="仿宋" w:eastAsia="仿宋"/>
          <w:sz w:val="28"/>
          <w:szCs w:val="28"/>
        </w:rPr>
      </w:pPr>
    </w:p>
    <w:p>
      <w:pPr>
        <w:ind w:firstLine="3500" w:firstLineChars="1250"/>
        <w:rPr>
          <w:rFonts w:ascii="仿宋" w:hAnsi="仿宋" w:eastAsia="仿宋"/>
          <w:sz w:val="28"/>
          <w:szCs w:val="28"/>
        </w:rPr>
      </w:pPr>
    </w:p>
    <w:p>
      <w:pPr>
        <w:ind w:firstLine="3500" w:firstLineChars="1250"/>
        <w:rPr>
          <w:rFonts w:ascii="仿宋" w:hAnsi="仿宋" w:eastAsia="仿宋"/>
          <w:sz w:val="28"/>
          <w:szCs w:val="28"/>
        </w:rPr>
      </w:pPr>
    </w:p>
    <w:p>
      <w:pPr>
        <w:ind w:firstLine="560" w:firstLineChars="200"/>
      </w:pPr>
      <w:r>
        <w:rPr>
          <w:rFonts w:hint="eastAsia" w:ascii="仿宋" w:hAnsi="仿宋" w:eastAsia="仿宋"/>
          <w:sz w:val="28"/>
          <w:szCs w:val="28"/>
          <w:lang w:val="en-US" w:eastAsia="zh-CN"/>
        </w:rPr>
        <w:t xml:space="preserve"> </w:t>
      </w:r>
      <w:r>
        <w:rPr>
          <w:rFonts w:hint="eastAsia" w:ascii="仿宋" w:hAnsi="仿宋" w:eastAsia="仿宋"/>
          <w:sz w:val="28"/>
          <w:szCs w:val="28"/>
        </w:rPr>
        <w:t xml:space="preserve">                         二0一八年七月十五日</w:t>
      </w:r>
    </w:p>
    <w:p>
      <w:pPr>
        <w:spacing w:line="520" w:lineRule="exact"/>
        <w:ind w:firstLine="560" w:firstLineChars="200"/>
        <w:outlineLvl w:val="1"/>
        <w:rPr>
          <w:rFonts w:ascii="仿宋" w:hAnsi="仿宋" w:eastAsia="仿宋"/>
          <w:bCs/>
          <w:sz w:val="28"/>
          <w:szCs w:val="28"/>
        </w:rPr>
      </w:pPr>
    </w:p>
    <w:p/>
    <w:sectPr>
      <w:pgSz w:w="11850" w:h="16783"/>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algun Gothic Semilight">
    <w:altName w:val="宋体"/>
    <w:panose1 w:val="00000000000000000000"/>
    <w:charset w:val="86"/>
    <w:family w:val="swiss"/>
    <w:pitch w:val="default"/>
    <w:sig w:usb0="00000000" w:usb1="00000000" w:usb2="00000012" w:usb3="00000000" w:csb0="003E01BD" w:csb1="00000000"/>
  </w:font>
  <w:font w:name="方正仿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6</w:t>
    </w:r>
    <w:r>
      <w:fldChar w:fldCharType="end"/>
    </w:r>
  </w:p>
  <w:p>
    <w:pPr>
      <w:pStyle w:val="3"/>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975774D"/>
    <w:multiLevelType w:val="singleLevel"/>
    <w:tmpl w:val="F975774D"/>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A68"/>
    <w:rsid w:val="000924B0"/>
    <w:rsid w:val="000E016E"/>
    <w:rsid w:val="000F1C74"/>
    <w:rsid w:val="000F54BB"/>
    <w:rsid w:val="00101AF6"/>
    <w:rsid w:val="00156362"/>
    <w:rsid w:val="001E5898"/>
    <w:rsid w:val="001F6A68"/>
    <w:rsid w:val="002469B1"/>
    <w:rsid w:val="002D0E32"/>
    <w:rsid w:val="00411F4F"/>
    <w:rsid w:val="00423797"/>
    <w:rsid w:val="00427412"/>
    <w:rsid w:val="00462CE4"/>
    <w:rsid w:val="00473879"/>
    <w:rsid w:val="004A2A1F"/>
    <w:rsid w:val="004C58FC"/>
    <w:rsid w:val="0053051C"/>
    <w:rsid w:val="0053738A"/>
    <w:rsid w:val="005814A7"/>
    <w:rsid w:val="005F2B9A"/>
    <w:rsid w:val="00627ECB"/>
    <w:rsid w:val="00630623"/>
    <w:rsid w:val="00640F88"/>
    <w:rsid w:val="006F7839"/>
    <w:rsid w:val="00722FA7"/>
    <w:rsid w:val="007D2490"/>
    <w:rsid w:val="0083180C"/>
    <w:rsid w:val="008717E7"/>
    <w:rsid w:val="009020F4"/>
    <w:rsid w:val="009D2601"/>
    <w:rsid w:val="00A26A19"/>
    <w:rsid w:val="00A402C6"/>
    <w:rsid w:val="00A47D3D"/>
    <w:rsid w:val="00A76C71"/>
    <w:rsid w:val="00AD2DE4"/>
    <w:rsid w:val="00AE4815"/>
    <w:rsid w:val="00AF549B"/>
    <w:rsid w:val="00B0116C"/>
    <w:rsid w:val="00B050E9"/>
    <w:rsid w:val="00B453CB"/>
    <w:rsid w:val="00B55C63"/>
    <w:rsid w:val="00B55F41"/>
    <w:rsid w:val="00BC6704"/>
    <w:rsid w:val="00C401E5"/>
    <w:rsid w:val="00C83B2C"/>
    <w:rsid w:val="00CE4C59"/>
    <w:rsid w:val="00D01713"/>
    <w:rsid w:val="00D26A36"/>
    <w:rsid w:val="00D27179"/>
    <w:rsid w:val="00D55825"/>
    <w:rsid w:val="00DE15AE"/>
    <w:rsid w:val="00E45386"/>
    <w:rsid w:val="00EC6281"/>
    <w:rsid w:val="00ED3866"/>
    <w:rsid w:val="00EF1C6B"/>
    <w:rsid w:val="00F243E2"/>
    <w:rsid w:val="00F74552"/>
    <w:rsid w:val="00F85758"/>
    <w:rsid w:val="00FE50AE"/>
    <w:rsid w:val="011619D5"/>
    <w:rsid w:val="024977BB"/>
    <w:rsid w:val="02A53927"/>
    <w:rsid w:val="04F362FC"/>
    <w:rsid w:val="057D7B7A"/>
    <w:rsid w:val="05DF0C97"/>
    <w:rsid w:val="06C75A9B"/>
    <w:rsid w:val="07427A65"/>
    <w:rsid w:val="08255181"/>
    <w:rsid w:val="08F54415"/>
    <w:rsid w:val="092513DB"/>
    <w:rsid w:val="094012E4"/>
    <w:rsid w:val="0A1A0E99"/>
    <w:rsid w:val="0BAC1EC3"/>
    <w:rsid w:val="0BF5512F"/>
    <w:rsid w:val="0C0617A3"/>
    <w:rsid w:val="0D08548C"/>
    <w:rsid w:val="112253B8"/>
    <w:rsid w:val="11502F87"/>
    <w:rsid w:val="11B0026D"/>
    <w:rsid w:val="12515C87"/>
    <w:rsid w:val="14592BF5"/>
    <w:rsid w:val="15850CA3"/>
    <w:rsid w:val="15F479EB"/>
    <w:rsid w:val="16291CDF"/>
    <w:rsid w:val="181E065C"/>
    <w:rsid w:val="1A365119"/>
    <w:rsid w:val="1A3F1B4F"/>
    <w:rsid w:val="1A3F2E17"/>
    <w:rsid w:val="1B037C30"/>
    <w:rsid w:val="1B4A4ED5"/>
    <w:rsid w:val="1C906F25"/>
    <w:rsid w:val="1E660C08"/>
    <w:rsid w:val="1FB92F23"/>
    <w:rsid w:val="203E6FA4"/>
    <w:rsid w:val="2106178E"/>
    <w:rsid w:val="21BF7F6B"/>
    <w:rsid w:val="22B465EB"/>
    <w:rsid w:val="232A40C1"/>
    <w:rsid w:val="233814CD"/>
    <w:rsid w:val="26403A28"/>
    <w:rsid w:val="27387775"/>
    <w:rsid w:val="28317ACF"/>
    <w:rsid w:val="289F06D4"/>
    <w:rsid w:val="291F14E2"/>
    <w:rsid w:val="2ABD417B"/>
    <w:rsid w:val="2B2A72A3"/>
    <w:rsid w:val="2D1F6DC8"/>
    <w:rsid w:val="2D395EA9"/>
    <w:rsid w:val="2DA13818"/>
    <w:rsid w:val="2EF404F6"/>
    <w:rsid w:val="2EF714FF"/>
    <w:rsid w:val="2F5739E0"/>
    <w:rsid w:val="31BB42DC"/>
    <w:rsid w:val="346053E0"/>
    <w:rsid w:val="34910A7F"/>
    <w:rsid w:val="34F07542"/>
    <w:rsid w:val="3702573A"/>
    <w:rsid w:val="378E71C4"/>
    <w:rsid w:val="37A82FD8"/>
    <w:rsid w:val="37DB4908"/>
    <w:rsid w:val="38AA2178"/>
    <w:rsid w:val="38D4529E"/>
    <w:rsid w:val="3A3B3B69"/>
    <w:rsid w:val="3B6B0524"/>
    <w:rsid w:val="3EC12C56"/>
    <w:rsid w:val="41A77903"/>
    <w:rsid w:val="45912B36"/>
    <w:rsid w:val="469E7D8F"/>
    <w:rsid w:val="47C63392"/>
    <w:rsid w:val="48CA4E98"/>
    <w:rsid w:val="491362C8"/>
    <w:rsid w:val="49437007"/>
    <w:rsid w:val="498A7DC4"/>
    <w:rsid w:val="49EE6A34"/>
    <w:rsid w:val="4B772C52"/>
    <w:rsid w:val="4C6B7847"/>
    <w:rsid w:val="4E054A3A"/>
    <w:rsid w:val="4E163FD2"/>
    <w:rsid w:val="4F9E5A56"/>
    <w:rsid w:val="50454210"/>
    <w:rsid w:val="5061685E"/>
    <w:rsid w:val="53D14E65"/>
    <w:rsid w:val="54E23C5D"/>
    <w:rsid w:val="57BF4437"/>
    <w:rsid w:val="5AA44C18"/>
    <w:rsid w:val="5B1F46C4"/>
    <w:rsid w:val="5C91170E"/>
    <w:rsid w:val="5DCB7161"/>
    <w:rsid w:val="5F2B4604"/>
    <w:rsid w:val="5FAD482D"/>
    <w:rsid w:val="60C056D5"/>
    <w:rsid w:val="61FC2E74"/>
    <w:rsid w:val="62BE33D3"/>
    <w:rsid w:val="634F0EB6"/>
    <w:rsid w:val="636742BA"/>
    <w:rsid w:val="63D12B27"/>
    <w:rsid w:val="64BB71DA"/>
    <w:rsid w:val="64FA052D"/>
    <w:rsid w:val="6589703A"/>
    <w:rsid w:val="663D37A6"/>
    <w:rsid w:val="67516974"/>
    <w:rsid w:val="675B5AB9"/>
    <w:rsid w:val="6B146E2D"/>
    <w:rsid w:val="6C2E5A3D"/>
    <w:rsid w:val="6F732F20"/>
    <w:rsid w:val="6F9047AB"/>
    <w:rsid w:val="70D87661"/>
    <w:rsid w:val="722D7391"/>
    <w:rsid w:val="72DE7EE6"/>
    <w:rsid w:val="732E1A61"/>
    <w:rsid w:val="73986528"/>
    <w:rsid w:val="75647FCD"/>
    <w:rsid w:val="75AC5602"/>
    <w:rsid w:val="75CE698D"/>
    <w:rsid w:val="766846A9"/>
    <w:rsid w:val="77445955"/>
    <w:rsid w:val="77D12C2E"/>
    <w:rsid w:val="77DB16D4"/>
    <w:rsid w:val="786E5426"/>
    <w:rsid w:val="79C62A8B"/>
    <w:rsid w:val="7B470FC6"/>
    <w:rsid w:val="7B533FAA"/>
    <w:rsid w:val="7B5C3842"/>
    <w:rsid w:val="7BD73647"/>
    <w:rsid w:val="7BEA0549"/>
    <w:rsid w:val="7CEB754A"/>
    <w:rsid w:val="7E9D4A56"/>
    <w:rsid w:val="7F1C7F7D"/>
    <w:rsid w:val="7F794C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toc 3"/>
    <w:basedOn w:val="1"/>
    <w:next w:val="1"/>
    <w:qFormat/>
    <w:uiPriority w:val="39"/>
    <w:pPr>
      <w:ind w:left="840" w:leftChars="4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toc 1"/>
    <w:basedOn w:val="1"/>
    <w:next w:val="1"/>
    <w:qFormat/>
    <w:uiPriority w:val="39"/>
  </w:style>
  <w:style w:type="paragraph" w:styleId="6">
    <w:name w:val="toc 2"/>
    <w:basedOn w:val="1"/>
    <w:next w:val="1"/>
    <w:qFormat/>
    <w:uiPriority w:val="39"/>
    <w:pPr>
      <w:ind w:left="420" w:leftChars="200"/>
    </w:pPr>
  </w:style>
  <w:style w:type="character" w:styleId="8">
    <w:name w:val="Hyperlink"/>
    <w:basedOn w:val="7"/>
    <w:unhideWhenUsed/>
    <w:qFormat/>
    <w:uiPriority w:val="99"/>
    <w:rPr>
      <w:color w:val="0563C1" w:themeColor="hyperlink"/>
      <w:u w:val="single"/>
      <w14:textFill>
        <w14:solidFill>
          <w14:schemeClr w14:val="hlink"/>
        </w14:solidFill>
      </w14:textFill>
    </w:rPr>
  </w:style>
  <w:style w:type="paragraph" w:customStyle="1" w:styleId="10">
    <w:name w:val="lxl"/>
    <w:basedOn w:val="1"/>
    <w:qFormat/>
    <w:uiPriority w:val="0"/>
    <w:pPr>
      <w:widowControl/>
      <w:spacing w:line="560" w:lineRule="exact"/>
    </w:pPr>
    <w:rPr>
      <w:rFonts w:ascii="Malgun Gothic Semilight" w:hAnsi="Malgun Gothic Semilight" w:eastAsia="方正仿宋_GBK"/>
      <w:sz w:val="30"/>
      <w:szCs w:val="3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21</Pages>
  <Words>1995</Words>
  <Characters>11375</Characters>
  <Lines>94</Lines>
  <Paragraphs>26</Paragraphs>
  <TotalTime>16</TotalTime>
  <ScaleCrop>false</ScaleCrop>
  <LinksUpToDate>false</LinksUpToDate>
  <CharactersWithSpaces>13344</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2018-10-26T03:03:30Z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ies>
</file>