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427" w:hRule="atLeast"/>
        </w:trPr>
        <w:tc>
          <w:tcPr>
            <w:tcW w:w="8522" w:type="dxa"/>
          </w:tcPr>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黑体" w:hAnsi="黑体" w:eastAsia="黑体"/>
                <w:b/>
                <w:sz w:val="36"/>
                <w:szCs w:val="36"/>
              </w:rPr>
            </w:pPr>
            <w:r>
              <w:rPr>
                <w:rFonts w:hint="eastAsia" w:ascii="黑体" w:hAnsi="黑体" w:eastAsia="黑体"/>
                <w:b/>
                <w:sz w:val="36"/>
                <w:szCs w:val="36"/>
              </w:rPr>
              <w:t>武汉市市直预算项目</w:t>
            </w:r>
          </w:p>
          <w:p>
            <w:pPr>
              <w:jc w:val="center"/>
              <w:rPr>
                <w:rFonts w:ascii="黑体" w:hAnsi="黑体" w:eastAsia="黑体"/>
                <w:b/>
                <w:sz w:val="32"/>
                <w:szCs w:val="32"/>
              </w:rPr>
            </w:pPr>
            <w:r>
              <w:rPr>
                <w:rFonts w:hint="eastAsia" w:ascii="黑体" w:hAnsi="黑体" w:eastAsia="黑体"/>
                <w:b/>
                <w:sz w:val="36"/>
                <w:szCs w:val="36"/>
              </w:rPr>
              <w:t>绩效自评报告</w:t>
            </w:r>
          </w:p>
          <w:p>
            <w:pPr>
              <w:jc w:val="center"/>
              <w:rPr>
                <w:rFonts w:ascii="黑体" w:hAnsi="黑体" w:eastAsia="黑体"/>
                <w:b/>
                <w:bCs/>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 xml:space="preserve">          </w:t>
            </w:r>
            <w:r>
              <w:rPr>
                <w:rFonts w:hint="eastAsia" w:ascii="黑体" w:hAnsi="黑体" w:eastAsia="黑体"/>
                <w:bCs/>
                <w:sz w:val="32"/>
                <w:szCs w:val="32"/>
              </w:rPr>
              <w:t>项目名称：水利工程运行与维护</w:t>
            </w:r>
          </w:p>
          <w:p>
            <w:pPr>
              <w:tabs>
                <w:tab w:val="center" w:pos="4153"/>
              </w:tabs>
              <w:ind w:left="3196" w:leftChars="760" w:hanging="1600" w:hangingChars="500"/>
              <w:rPr>
                <w:rFonts w:ascii="黑体" w:hAnsi="黑体" w:eastAsia="黑体"/>
                <w:bCs/>
                <w:sz w:val="32"/>
                <w:szCs w:val="32"/>
              </w:rPr>
            </w:pPr>
            <w:r>
              <w:rPr>
                <w:rFonts w:hint="eastAsia" w:ascii="黑体" w:hAnsi="黑体" w:eastAsia="黑体"/>
                <w:bCs/>
                <w:sz w:val="32"/>
                <w:szCs w:val="32"/>
              </w:rPr>
              <w:t>项目单位：武汉市排水泵站管理处</w:t>
            </w:r>
          </w:p>
          <w:p>
            <w:pPr>
              <w:ind w:firstLine="1600" w:firstLineChars="500"/>
              <w:rPr>
                <w:rFonts w:ascii="黑体" w:hAnsi="黑体" w:eastAsia="黑体"/>
                <w:bCs/>
                <w:sz w:val="32"/>
                <w:szCs w:val="32"/>
              </w:rPr>
            </w:pPr>
            <w:r>
              <w:rPr>
                <w:rFonts w:hint="eastAsia" w:ascii="黑体" w:hAnsi="黑体" w:eastAsia="黑体"/>
                <w:bCs/>
                <w:sz w:val="32"/>
                <w:szCs w:val="32"/>
              </w:rPr>
              <w:t>主管部门：武汉市水务局</w:t>
            </w:r>
          </w:p>
          <w:p>
            <w:pPr>
              <w:ind w:firstLine="1600" w:firstLineChars="500"/>
              <w:rPr>
                <w:rFonts w:hint="eastAsia" w:ascii="黑体" w:hAnsi="黑体" w:eastAsia="黑体"/>
                <w:bCs/>
                <w:sz w:val="32"/>
                <w:szCs w:val="32"/>
              </w:rPr>
            </w:pPr>
            <w:r>
              <w:rPr>
                <w:rFonts w:hint="eastAsia" w:ascii="黑体" w:hAnsi="黑体" w:eastAsia="黑体"/>
                <w:bCs/>
                <w:sz w:val="32"/>
                <w:szCs w:val="32"/>
              </w:rPr>
              <w:t>报告时间：二○一八年七月</w:t>
            </w:r>
          </w:p>
          <w:p>
            <w:pPr>
              <w:ind w:firstLine="1600" w:firstLineChars="500"/>
              <w:rPr>
                <w:rFonts w:ascii="黑体" w:hAnsi="黑体" w:eastAsia="黑体"/>
                <w:bCs/>
                <w:sz w:val="32"/>
                <w:szCs w:val="32"/>
              </w:rPr>
            </w:pPr>
          </w:p>
          <w:p>
            <w:pPr>
              <w:jc w:val="center"/>
              <w:rPr>
                <w:rFonts w:ascii="黑体" w:hAnsi="黑体" w:eastAsia="黑体"/>
                <w:bCs/>
                <w:sz w:val="32"/>
                <w:szCs w:val="32"/>
              </w:rPr>
            </w:pPr>
          </w:p>
          <w:p>
            <w:pPr>
              <w:jc w:val="center"/>
              <w:rPr>
                <w:rFonts w:ascii="黑体" w:hAnsi="黑体" w:eastAsia="黑体"/>
                <w:bCs/>
                <w:sz w:val="32"/>
                <w:szCs w:val="32"/>
              </w:rPr>
            </w:pPr>
          </w:p>
          <w:p>
            <w:pPr>
              <w:jc w:val="center"/>
              <w:rPr>
                <w:rFonts w:ascii="黑体" w:hAnsi="黑体" w:eastAsia="黑体"/>
                <w:bCs/>
                <w:sz w:val="32"/>
                <w:szCs w:val="32"/>
              </w:rPr>
            </w:pPr>
          </w:p>
          <w:p>
            <w:pPr>
              <w:jc w:val="center"/>
              <w:rPr>
                <w:rFonts w:ascii="仿宋_GB2312" w:eastAsia="仿宋_GB2312"/>
                <w:b/>
                <w:sz w:val="32"/>
                <w:szCs w:val="32"/>
              </w:rPr>
            </w:pPr>
          </w:p>
          <w:p>
            <w:pPr>
              <w:jc w:val="center"/>
              <w:rPr>
                <w:rFonts w:ascii="仿宋_GB2312" w:eastAsia="仿宋_GB2312"/>
                <w:b/>
                <w:sz w:val="32"/>
                <w:szCs w:val="32"/>
              </w:rPr>
            </w:pPr>
          </w:p>
        </w:tc>
      </w:tr>
    </w:tbl>
    <w:p>
      <w:pPr>
        <w:spacing w:line="520" w:lineRule="exact"/>
        <w:jc w:val="both"/>
        <w:outlineLvl w:val="0"/>
        <w:rPr>
          <w:rFonts w:ascii="黑体" w:hAnsi="黑体" w:eastAsia="黑体" w:cs="黑体"/>
          <w:bCs/>
          <w:sz w:val="28"/>
          <w:szCs w:val="28"/>
        </w:rPr>
        <w:sectPr>
          <w:footerReference r:id="rId3" w:type="default"/>
          <w:pgSz w:w="11906" w:h="16838"/>
          <w:pgMar w:top="1440" w:right="1800" w:bottom="1440" w:left="1800" w:header="851" w:footer="992" w:gutter="0"/>
          <w:pgNumType w:start="1"/>
          <w:cols w:space="720" w:num="1"/>
          <w:docGrid w:type="lines" w:linePitch="312" w:charSpace="0"/>
        </w:sectPr>
      </w:pPr>
      <w:bookmarkStart w:id="0" w:name="_Toc511502513"/>
      <w:bookmarkStart w:id="1" w:name="_Toc511502514"/>
    </w:p>
    <w:bookmarkEnd w:id="0"/>
    <w:p>
      <w:pPr>
        <w:spacing w:line="520" w:lineRule="exact"/>
        <w:ind w:firstLine="560" w:firstLineChars="200"/>
        <w:outlineLvl w:val="0"/>
        <w:rPr>
          <w:rFonts w:hint="eastAsia" w:ascii="黑体" w:hAnsi="黑体" w:eastAsia="黑体" w:cs="黑体"/>
          <w:bCs/>
          <w:sz w:val="28"/>
          <w:szCs w:val="28"/>
        </w:rPr>
      </w:pPr>
      <w:bookmarkStart w:id="2" w:name="_Toc517708009"/>
    </w:p>
    <w:p>
      <w:pPr>
        <w:spacing w:line="520" w:lineRule="exact"/>
        <w:ind w:firstLine="560" w:firstLineChars="200"/>
        <w:outlineLvl w:val="0"/>
        <w:rPr>
          <w:rFonts w:ascii="黑体" w:hAnsi="黑体" w:eastAsia="黑体" w:cs="黑体"/>
          <w:bCs/>
          <w:sz w:val="28"/>
          <w:szCs w:val="28"/>
        </w:rPr>
      </w:pPr>
      <w:bookmarkStart w:id="46" w:name="_GoBack"/>
      <w:bookmarkEnd w:id="46"/>
      <w:r>
        <w:rPr>
          <w:rFonts w:hint="eastAsia" w:ascii="黑体" w:hAnsi="黑体" w:eastAsia="黑体" w:cs="黑体"/>
          <w:bCs/>
          <w:sz w:val="28"/>
          <w:szCs w:val="28"/>
        </w:rPr>
        <w:t>一、项目基本情况</w:t>
      </w:r>
      <w:bookmarkEnd w:id="1"/>
      <w:bookmarkEnd w:id="2"/>
    </w:p>
    <w:p>
      <w:pPr>
        <w:spacing w:line="520" w:lineRule="exact"/>
        <w:ind w:firstLine="560" w:firstLineChars="200"/>
        <w:outlineLvl w:val="1"/>
        <w:rPr>
          <w:rFonts w:ascii="仿宋" w:hAnsi="仿宋" w:eastAsia="仿宋"/>
          <w:bCs/>
          <w:sz w:val="28"/>
          <w:szCs w:val="28"/>
        </w:rPr>
      </w:pPr>
      <w:bookmarkStart w:id="3" w:name="_Toc511502515"/>
      <w:bookmarkStart w:id="4" w:name="_Toc517708010"/>
      <w:r>
        <w:rPr>
          <w:rFonts w:hint="eastAsia" w:ascii="仿宋" w:hAnsi="仿宋" w:eastAsia="仿宋"/>
          <w:bCs/>
          <w:sz w:val="28"/>
          <w:szCs w:val="28"/>
        </w:rPr>
        <w:t>（一）</w:t>
      </w:r>
      <w:bookmarkEnd w:id="3"/>
      <w:r>
        <w:rPr>
          <w:rFonts w:hint="eastAsia" w:ascii="仿宋" w:hAnsi="仿宋" w:eastAsia="仿宋"/>
          <w:bCs/>
          <w:sz w:val="28"/>
          <w:szCs w:val="28"/>
        </w:rPr>
        <w:t>项目概况</w:t>
      </w:r>
      <w:bookmarkEnd w:id="4"/>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武汉市排水泵站管理处主要负责汛期雨季雨水的抽排；</w:t>
      </w:r>
      <w:r>
        <w:rPr>
          <w:rFonts w:hint="eastAsia" w:ascii="仿宋" w:hAnsi="仿宋" w:eastAsia="仿宋"/>
          <w:bCs/>
          <w:sz w:val="28"/>
          <w:szCs w:val="28"/>
          <w:highlight w:val="none"/>
        </w:rPr>
        <w:t>负责</w:t>
      </w:r>
      <w:r>
        <w:rPr>
          <w:rFonts w:hint="eastAsia" w:ascii="仿宋" w:hAnsi="仿宋" w:eastAsia="仿宋"/>
          <w:bCs/>
          <w:sz w:val="28"/>
          <w:szCs w:val="28"/>
        </w:rPr>
        <w:t>市属后湖泵站、常青泵站、舵落口泵站、罗家路泵站、新生路泵站、前进路泵站、鹦鹉洲泵站、鹦鹉湖泵站、二桥泵站、天津路泵站、武汉关泵站等大中型排水泵站机电设备和沿江沿河排渍防洪闸门的维护保养；负责罗家港明渠、黄孝河明渠、机场河明渠等主干明渠、大型箱涵的养护管理；减少和消除城市渍灾，确保汛期雨季城市安全。多年来，管理处很好地履行了排渍职责，为战胜暴雨洪水立下了汗马功劳，</w:t>
      </w:r>
      <w:r>
        <w:rPr>
          <w:rFonts w:hint="eastAsia" w:ascii="仿宋" w:hAnsi="仿宋" w:eastAsia="仿宋"/>
          <w:bCs/>
          <w:sz w:val="28"/>
          <w:szCs w:val="28"/>
          <w:lang w:eastAsia="zh-CN"/>
        </w:rPr>
        <w:t>力争</w:t>
      </w:r>
      <w:r>
        <w:rPr>
          <w:rFonts w:hint="eastAsia" w:ascii="仿宋" w:hAnsi="仿宋" w:eastAsia="仿宋"/>
          <w:bCs/>
          <w:sz w:val="28"/>
          <w:szCs w:val="28"/>
        </w:rPr>
        <w:t>做到“小雨、中雨无渍水</w:t>
      </w:r>
      <w:r>
        <w:rPr>
          <w:rFonts w:hint="eastAsia" w:ascii="仿宋" w:hAnsi="仿宋" w:eastAsia="仿宋"/>
          <w:bCs/>
          <w:sz w:val="28"/>
          <w:szCs w:val="28"/>
          <w:lang w:eastAsia="zh-CN"/>
        </w:rPr>
        <w:t>，</w:t>
      </w:r>
      <w:r>
        <w:rPr>
          <w:rFonts w:hint="eastAsia" w:ascii="仿宋" w:hAnsi="仿宋" w:eastAsia="仿宋"/>
          <w:bCs/>
          <w:sz w:val="28"/>
          <w:szCs w:val="28"/>
        </w:rPr>
        <w:t>大雨保交通</w:t>
      </w:r>
      <w:r>
        <w:rPr>
          <w:rFonts w:hint="eastAsia" w:ascii="仿宋" w:hAnsi="仿宋" w:eastAsia="仿宋"/>
          <w:bCs/>
          <w:sz w:val="28"/>
          <w:szCs w:val="28"/>
          <w:lang w:eastAsia="zh-CN"/>
        </w:rPr>
        <w:t>，</w:t>
      </w:r>
      <w:r>
        <w:rPr>
          <w:rFonts w:hint="eastAsia" w:ascii="仿宋" w:hAnsi="仿宋" w:eastAsia="仿宋"/>
          <w:bCs/>
          <w:sz w:val="28"/>
          <w:szCs w:val="28"/>
        </w:rPr>
        <w:t>持续大暴雨抗渍灾</w:t>
      </w:r>
      <w:r>
        <w:rPr>
          <w:rFonts w:hint="eastAsia" w:ascii="仿宋" w:hAnsi="仿宋" w:eastAsia="仿宋"/>
          <w:bCs/>
          <w:sz w:val="28"/>
          <w:szCs w:val="28"/>
          <w:lang w:eastAsia="zh-CN"/>
        </w:rPr>
        <w:t>，</w:t>
      </w:r>
      <w:r>
        <w:rPr>
          <w:rFonts w:hint="eastAsia" w:ascii="仿宋" w:hAnsi="仿宋" w:eastAsia="仿宋"/>
          <w:bCs/>
          <w:sz w:val="28"/>
          <w:szCs w:val="28"/>
        </w:rPr>
        <w:t>不可抵御特大暴雨保安全”</w:t>
      </w:r>
      <w:r>
        <w:rPr>
          <w:rFonts w:hint="eastAsia" w:ascii="仿宋" w:hAnsi="仿宋" w:eastAsia="仿宋"/>
          <w:bCs/>
          <w:sz w:val="28"/>
          <w:szCs w:val="28"/>
          <w:lang w:eastAsia="zh-CN"/>
        </w:rPr>
        <w:t>，</w:t>
      </w:r>
      <w:r>
        <w:rPr>
          <w:rFonts w:hint="eastAsia" w:ascii="仿宋" w:hAnsi="仿宋" w:eastAsia="仿宋"/>
          <w:bCs/>
          <w:sz w:val="28"/>
          <w:szCs w:val="28"/>
        </w:rPr>
        <w:t>维修改造项目的实施有利于提升排渍能力，确保城市不出现严重渍水，减轻因渍水而造成的社会经济损失，改善城市环境，提高居民生活质量，提升城市形象。</w:t>
      </w:r>
    </w:p>
    <w:p>
      <w:pPr>
        <w:spacing w:line="520" w:lineRule="exact"/>
        <w:ind w:firstLine="560" w:firstLineChars="200"/>
        <w:outlineLvl w:val="1"/>
        <w:rPr>
          <w:rFonts w:ascii="仿宋" w:hAnsi="仿宋" w:eastAsia="仿宋"/>
          <w:bCs/>
          <w:sz w:val="28"/>
          <w:szCs w:val="28"/>
        </w:rPr>
      </w:pPr>
      <w:bookmarkStart w:id="5" w:name="_Toc517708011"/>
      <w:bookmarkStart w:id="6" w:name="_Toc511502516"/>
      <w:r>
        <w:rPr>
          <w:rFonts w:hint="eastAsia" w:ascii="仿宋" w:hAnsi="仿宋" w:eastAsia="仿宋"/>
          <w:bCs/>
          <w:sz w:val="28"/>
          <w:szCs w:val="28"/>
        </w:rPr>
        <w:t>（二）项目预算绩效目标</w:t>
      </w:r>
      <w:bookmarkEnd w:id="5"/>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项目绩效目标是最大限度确保城市不出现严重渍水，力争做到“小雨、中雨无渍水</w:t>
      </w:r>
      <w:r>
        <w:rPr>
          <w:rFonts w:hint="eastAsia" w:ascii="仿宋" w:hAnsi="仿宋" w:eastAsia="仿宋"/>
          <w:bCs/>
          <w:sz w:val="28"/>
          <w:szCs w:val="28"/>
          <w:lang w:eastAsia="zh-CN"/>
        </w:rPr>
        <w:t>，</w:t>
      </w:r>
      <w:r>
        <w:rPr>
          <w:rFonts w:hint="eastAsia" w:ascii="仿宋" w:hAnsi="仿宋" w:eastAsia="仿宋"/>
          <w:bCs/>
          <w:sz w:val="28"/>
          <w:szCs w:val="28"/>
        </w:rPr>
        <w:t>大雨保交通</w:t>
      </w:r>
      <w:r>
        <w:rPr>
          <w:rFonts w:hint="eastAsia" w:ascii="仿宋" w:hAnsi="仿宋" w:eastAsia="仿宋"/>
          <w:bCs/>
          <w:sz w:val="28"/>
          <w:szCs w:val="28"/>
          <w:lang w:eastAsia="zh-CN"/>
        </w:rPr>
        <w:t>，</w:t>
      </w:r>
      <w:r>
        <w:rPr>
          <w:rFonts w:hint="eastAsia" w:ascii="仿宋" w:hAnsi="仿宋" w:eastAsia="仿宋"/>
          <w:bCs/>
          <w:sz w:val="28"/>
          <w:szCs w:val="28"/>
        </w:rPr>
        <w:t>持续大暴雨抗渍灾</w:t>
      </w:r>
      <w:r>
        <w:rPr>
          <w:rFonts w:hint="eastAsia" w:ascii="仿宋" w:hAnsi="仿宋" w:eastAsia="仿宋"/>
          <w:bCs/>
          <w:sz w:val="28"/>
          <w:szCs w:val="28"/>
          <w:lang w:eastAsia="zh-CN"/>
        </w:rPr>
        <w:t>，</w:t>
      </w:r>
      <w:r>
        <w:rPr>
          <w:rFonts w:hint="eastAsia" w:ascii="仿宋" w:hAnsi="仿宋" w:eastAsia="仿宋"/>
          <w:bCs/>
          <w:sz w:val="28"/>
          <w:szCs w:val="28"/>
        </w:rPr>
        <w:t>不可抵御特大暴雨保安全”</w:t>
      </w:r>
      <w:r>
        <w:rPr>
          <w:rFonts w:hint="eastAsia" w:ascii="仿宋" w:hAnsi="仿宋" w:eastAsia="仿宋"/>
          <w:bCs/>
          <w:sz w:val="28"/>
          <w:szCs w:val="28"/>
          <w:lang w:eastAsia="zh-CN"/>
        </w:rPr>
        <w:t>。</w:t>
      </w:r>
      <w:r>
        <w:rPr>
          <w:rFonts w:hint="eastAsia" w:ascii="仿宋" w:hAnsi="仿宋" w:eastAsia="仿宋"/>
          <w:bCs/>
          <w:sz w:val="28"/>
          <w:szCs w:val="28"/>
        </w:rPr>
        <w:t>具体绩效指标设置情况如下：</w:t>
      </w:r>
    </w:p>
    <w:p>
      <w:pPr>
        <w:spacing w:line="520" w:lineRule="exact"/>
        <w:ind w:firstLine="562" w:firstLineChars="200"/>
        <w:jc w:val="center"/>
        <w:rPr>
          <w:rFonts w:ascii="仿宋" w:hAnsi="仿宋" w:eastAsia="仿宋"/>
          <w:b/>
          <w:bCs w:val="0"/>
          <w:sz w:val="28"/>
          <w:szCs w:val="28"/>
        </w:rPr>
      </w:pPr>
      <w:r>
        <w:rPr>
          <w:rFonts w:hint="eastAsia" w:ascii="仿宋" w:hAnsi="仿宋" w:eastAsia="仿宋"/>
          <w:b/>
          <w:bCs w:val="0"/>
          <w:sz w:val="28"/>
          <w:szCs w:val="28"/>
        </w:rPr>
        <w:t>市管泵站及明渠箱涵设施维护改造项目绩效指标设置</w:t>
      </w:r>
    </w:p>
    <w:tbl>
      <w:tblPr>
        <w:tblStyle w:val="9"/>
        <w:tblW w:w="8379" w:type="dxa"/>
        <w:jc w:val="center"/>
        <w:tblInd w:w="0" w:type="dxa"/>
        <w:tblLayout w:type="fixed"/>
        <w:tblCellMar>
          <w:top w:w="0" w:type="dxa"/>
          <w:left w:w="108" w:type="dxa"/>
          <w:bottom w:w="0" w:type="dxa"/>
          <w:right w:w="108" w:type="dxa"/>
        </w:tblCellMar>
      </w:tblPr>
      <w:tblGrid>
        <w:gridCol w:w="1291"/>
        <w:gridCol w:w="2169"/>
        <w:gridCol w:w="3100"/>
        <w:gridCol w:w="1819"/>
      </w:tblGrid>
      <w:tr>
        <w:tblPrEx>
          <w:tblLayout w:type="fixed"/>
          <w:tblCellMar>
            <w:top w:w="0" w:type="dxa"/>
            <w:left w:w="108" w:type="dxa"/>
            <w:bottom w:w="0" w:type="dxa"/>
            <w:right w:w="108" w:type="dxa"/>
          </w:tblCellMar>
        </w:tblPrEx>
        <w:trPr>
          <w:trHeight w:val="480" w:hRule="atLeast"/>
          <w:tblHeader/>
          <w:jc w:val="center"/>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一级指标</w:t>
            </w:r>
          </w:p>
        </w:tc>
        <w:tc>
          <w:tcPr>
            <w:tcW w:w="21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二级指标</w:t>
            </w:r>
          </w:p>
        </w:tc>
        <w:tc>
          <w:tcPr>
            <w:tcW w:w="31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指标内容</w:t>
            </w:r>
          </w:p>
        </w:tc>
        <w:tc>
          <w:tcPr>
            <w:tcW w:w="18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指标值</w:t>
            </w:r>
          </w:p>
        </w:tc>
      </w:tr>
      <w:tr>
        <w:tblPrEx>
          <w:tblLayout w:type="fixed"/>
          <w:tblCellMar>
            <w:top w:w="0" w:type="dxa"/>
            <w:left w:w="108" w:type="dxa"/>
            <w:bottom w:w="0" w:type="dxa"/>
            <w:right w:w="108" w:type="dxa"/>
          </w:tblCellMar>
        </w:tblPrEx>
        <w:trPr>
          <w:trHeight w:val="855" w:hRule="atLeast"/>
          <w:jc w:val="center"/>
        </w:trPr>
        <w:tc>
          <w:tcPr>
            <w:tcW w:w="1291" w:type="dxa"/>
            <w:vMerge w:val="restart"/>
            <w:tcBorders>
              <w:top w:val="nil"/>
              <w:left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产出指标</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数量指标</w:t>
            </w:r>
          </w:p>
        </w:tc>
        <w:tc>
          <w:tcPr>
            <w:tcW w:w="31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1</w:t>
            </w:r>
            <w:r>
              <w:rPr>
                <w:rFonts w:hint="eastAsia" w:ascii="仿宋" w:hAnsi="仿宋" w:eastAsia="仿宋" w:cs="宋体"/>
                <w:kern w:val="0"/>
                <w:sz w:val="24"/>
                <w:lang w:eastAsia="zh-CN"/>
              </w:rPr>
              <w:t>、</w:t>
            </w:r>
            <w:r>
              <w:rPr>
                <w:rFonts w:hint="eastAsia" w:ascii="仿宋" w:hAnsi="仿宋" w:eastAsia="仿宋" w:cs="宋体"/>
                <w:kern w:val="0"/>
                <w:sz w:val="24"/>
              </w:rPr>
              <w:t>市属泵站维护改造</w:t>
            </w:r>
            <w:r>
              <w:rPr>
                <w:rFonts w:hint="eastAsia" w:ascii="仿宋" w:hAnsi="仿宋" w:eastAsia="仿宋" w:cs="宋体"/>
                <w:kern w:val="0"/>
                <w:sz w:val="24"/>
              </w:rPr>
              <w:br w:type="textWrapping"/>
            </w:r>
            <w:r>
              <w:rPr>
                <w:rFonts w:hint="eastAsia" w:ascii="仿宋" w:hAnsi="仿宋" w:eastAsia="仿宋" w:cs="宋体"/>
                <w:kern w:val="0"/>
                <w:sz w:val="24"/>
              </w:rPr>
              <w:t>2、明渠护坡设施维护，黄孝河明渠护坡绿化维护</w:t>
            </w:r>
          </w:p>
        </w:tc>
        <w:tc>
          <w:tcPr>
            <w:tcW w:w="18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100%</w:t>
            </w:r>
          </w:p>
        </w:tc>
      </w:tr>
      <w:tr>
        <w:tblPrEx>
          <w:tblLayout w:type="fixed"/>
          <w:tblCellMar>
            <w:top w:w="0" w:type="dxa"/>
            <w:left w:w="108" w:type="dxa"/>
            <w:bottom w:w="0" w:type="dxa"/>
            <w:right w:w="108" w:type="dxa"/>
          </w:tblCellMar>
        </w:tblPrEx>
        <w:trPr>
          <w:trHeight w:val="480" w:hRule="atLeast"/>
          <w:jc w:val="center"/>
        </w:trPr>
        <w:tc>
          <w:tcPr>
            <w:tcW w:w="1291" w:type="dxa"/>
            <w:vMerge w:val="continue"/>
            <w:tcBorders>
              <w:left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质量指标</w:t>
            </w:r>
          </w:p>
        </w:tc>
        <w:tc>
          <w:tcPr>
            <w:tcW w:w="31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泵站设备完好率</w:t>
            </w:r>
          </w:p>
        </w:tc>
        <w:tc>
          <w:tcPr>
            <w:tcW w:w="18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90%</w:t>
            </w:r>
          </w:p>
        </w:tc>
      </w:tr>
      <w:tr>
        <w:tblPrEx>
          <w:tblLayout w:type="fixed"/>
          <w:tblCellMar>
            <w:top w:w="0" w:type="dxa"/>
            <w:left w:w="108" w:type="dxa"/>
            <w:bottom w:w="0" w:type="dxa"/>
            <w:right w:w="108" w:type="dxa"/>
          </w:tblCellMar>
        </w:tblPrEx>
        <w:trPr>
          <w:trHeight w:val="585" w:hRule="atLeast"/>
          <w:jc w:val="center"/>
        </w:trPr>
        <w:tc>
          <w:tcPr>
            <w:tcW w:w="1291" w:type="dxa"/>
            <w:vMerge w:val="continue"/>
            <w:tcBorders>
              <w:left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时效指标</w:t>
            </w:r>
          </w:p>
        </w:tc>
        <w:tc>
          <w:tcPr>
            <w:tcW w:w="31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1、泵站开机率</w:t>
            </w:r>
            <w:r>
              <w:rPr>
                <w:rFonts w:hint="eastAsia" w:ascii="仿宋" w:hAnsi="仿宋" w:eastAsia="仿宋" w:cs="宋体"/>
                <w:kern w:val="0"/>
                <w:sz w:val="24"/>
              </w:rPr>
              <w:br w:type="textWrapping"/>
            </w:r>
            <w:r>
              <w:rPr>
                <w:rFonts w:hint="eastAsia" w:ascii="仿宋" w:hAnsi="仿宋" w:eastAsia="仿宋" w:cs="宋体"/>
                <w:kern w:val="0"/>
                <w:sz w:val="24"/>
              </w:rPr>
              <w:t>2、全年应急抢险出警率</w:t>
            </w:r>
          </w:p>
        </w:tc>
        <w:tc>
          <w:tcPr>
            <w:tcW w:w="18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100%</w:t>
            </w:r>
          </w:p>
        </w:tc>
      </w:tr>
      <w:tr>
        <w:tblPrEx>
          <w:tblLayout w:type="fixed"/>
          <w:tblCellMar>
            <w:top w:w="0" w:type="dxa"/>
            <w:left w:w="108" w:type="dxa"/>
            <w:bottom w:w="0" w:type="dxa"/>
            <w:right w:w="108" w:type="dxa"/>
          </w:tblCellMar>
        </w:tblPrEx>
        <w:trPr>
          <w:trHeight w:val="585" w:hRule="atLeast"/>
          <w:jc w:val="center"/>
        </w:trPr>
        <w:tc>
          <w:tcPr>
            <w:tcW w:w="1291"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宋体"/>
                <w:sz w:val="24"/>
              </w:rPr>
            </w:pPr>
            <w:r>
              <w:rPr>
                <w:rFonts w:hint="eastAsia" w:ascii="仿宋" w:hAnsi="仿宋" w:eastAsia="仿宋"/>
                <w:sz w:val="24"/>
                <w:szCs w:val="32"/>
              </w:rPr>
              <w:t>成本指标</w:t>
            </w:r>
          </w:p>
        </w:tc>
        <w:tc>
          <w:tcPr>
            <w:tcW w:w="3100" w:type="dxa"/>
            <w:tcBorders>
              <w:top w:val="nil"/>
              <w:left w:val="nil"/>
              <w:bottom w:val="single" w:color="auto" w:sz="4" w:space="0"/>
              <w:right w:val="single" w:color="auto" w:sz="4" w:space="0"/>
            </w:tcBorders>
            <w:shd w:val="clear" w:color="auto" w:fill="auto"/>
            <w:vAlign w:val="center"/>
          </w:tcPr>
          <w:p>
            <w:pPr>
              <w:rPr>
                <w:rFonts w:ascii="仿宋" w:hAnsi="仿宋" w:eastAsia="仿宋" w:cs="宋体"/>
                <w:sz w:val="24"/>
              </w:rPr>
            </w:pPr>
            <w:r>
              <w:rPr>
                <w:rFonts w:hint="eastAsia" w:ascii="仿宋" w:hAnsi="仿宋" w:eastAsia="仿宋"/>
                <w:sz w:val="24"/>
                <w:szCs w:val="32"/>
              </w:rPr>
              <w:t>当年预算安排</w:t>
            </w:r>
          </w:p>
        </w:tc>
        <w:tc>
          <w:tcPr>
            <w:tcW w:w="1819" w:type="dxa"/>
            <w:tcBorders>
              <w:top w:val="nil"/>
              <w:left w:val="nil"/>
              <w:bottom w:val="single" w:color="auto" w:sz="4" w:space="0"/>
              <w:right w:val="single" w:color="auto" w:sz="4" w:space="0"/>
            </w:tcBorders>
            <w:shd w:val="clear" w:color="auto" w:fill="auto"/>
            <w:vAlign w:val="center"/>
          </w:tcPr>
          <w:p>
            <w:pPr>
              <w:jc w:val="center"/>
              <w:rPr>
                <w:rFonts w:hint="eastAsia" w:ascii="仿宋" w:hAnsi="仿宋" w:eastAsia="仿宋" w:cs="宋体"/>
                <w:sz w:val="24"/>
                <w:lang w:eastAsia="zh-CN"/>
              </w:rPr>
            </w:pPr>
            <w:r>
              <w:rPr>
                <w:rFonts w:hint="eastAsia" w:ascii="仿宋" w:hAnsi="仿宋" w:eastAsia="仿宋"/>
                <w:sz w:val="24"/>
                <w:szCs w:val="32"/>
                <w:highlight w:val="none"/>
                <w:lang w:val="en-US" w:eastAsia="zh-CN"/>
              </w:rPr>
              <w:t>1408.23</w:t>
            </w:r>
            <w:r>
              <w:rPr>
                <w:rFonts w:hint="eastAsia" w:ascii="仿宋" w:hAnsi="仿宋" w:eastAsia="仿宋"/>
                <w:sz w:val="24"/>
                <w:szCs w:val="32"/>
                <w:highlight w:val="none"/>
                <w:lang w:eastAsia="zh-CN"/>
              </w:rPr>
              <w:t>万元</w:t>
            </w:r>
          </w:p>
        </w:tc>
      </w:tr>
      <w:tr>
        <w:tblPrEx>
          <w:tblLayout w:type="fixed"/>
          <w:tblCellMar>
            <w:top w:w="0" w:type="dxa"/>
            <w:left w:w="108" w:type="dxa"/>
            <w:bottom w:w="0" w:type="dxa"/>
            <w:right w:w="108" w:type="dxa"/>
          </w:tblCellMar>
        </w:tblPrEx>
        <w:trPr>
          <w:trHeight w:val="600" w:hRule="atLeast"/>
          <w:jc w:val="center"/>
        </w:trPr>
        <w:tc>
          <w:tcPr>
            <w:tcW w:w="129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效益指标</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经济效益指标</w:t>
            </w:r>
          </w:p>
        </w:tc>
        <w:tc>
          <w:tcPr>
            <w:tcW w:w="31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减轻因渍水而造成的社会经济损失</w:t>
            </w:r>
          </w:p>
        </w:tc>
        <w:tc>
          <w:tcPr>
            <w:tcW w:w="18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lang w:val="en-US" w:eastAsia="zh-CN"/>
              </w:rPr>
              <w:t>/</w:t>
            </w:r>
            <w:r>
              <w:rPr>
                <w:rFonts w:hint="eastAsia" w:ascii="仿宋" w:hAnsi="仿宋" w:eastAsia="仿宋" w:cs="宋体"/>
                <w:kern w:val="0"/>
                <w:sz w:val="24"/>
              </w:rPr>
              <w:t>　</w:t>
            </w:r>
          </w:p>
        </w:tc>
      </w:tr>
      <w:tr>
        <w:tblPrEx>
          <w:tblLayout w:type="fixed"/>
          <w:tblCellMar>
            <w:top w:w="0" w:type="dxa"/>
            <w:left w:w="108" w:type="dxa"/>
            <w:bottom w:w="0" w:type="dxa"/>
            <w:right w:w="108" w:type="dxa"/>
          </w:tblCellMar>
        </w:tblPrEx>
        <w:trPr>
          <w:trHeight w:val="615" w:hRule="atLeast"/>
          <w:jc w:val="center"/>
        </w:trPr>
        <w:tc>
          <w:tcPr>
            <w:tcW w:w="129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社会效益指标</w:t>
            </w:r>
          </w:p>
        </w:tc>
        <w:tc>
          <w:tcPr>
            <w:tcW w:w="31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最大限度确保城市不出现严重渍水</w:t>
            </w:r>
          </w:p>
        </w:tc>
        <w:tc>
          <w:tcPr>
            <w:tcW w:w="18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好</w:t>
            </w:r>
          </w:p>
        </w:tc>
      </w:tr>
      <w:tr>
        <w:tblPrEx>
          <w:tblLayout w:type="fixed"/>
          <w:tblCellMar>
            <w:top w:w="0" w:type="dxa"/>
            <w:left w:w="108" w:type="dxa"/>
            <w:bottom w:w="0" w:type="dxa"/>
            <w:right w:w="108" w:type="dxa"/>
          </w:tblCellMar>
        </w:tblPrEx>
        <w:trPr>
          <w:trHeight w:val="480" w:hRule="atLeast"/>
          <w:jc w:val="center"/>
        </w:trPr>
        <w:tc>
          <w:tcPr>
            <w:tcW w:w="129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环境效益指标</w:t>
            </w:r>
          </w:p>
        </w:tc>
        <w:tc>
          <w:tcPr>
            <w:tcW w:w="31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改善城市环境</w:t>
            </w:r>
          </w:p>
        </w:tc>
        <w:tc>
          <w:tcPr>
            <w:tcW w:w="18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好</w:t>
            </w:r>
          </w:p>
        </w:tc>
      </w:tr>
      <w:tr>
        <w:tblPrEx>
          <w:tblLayout w:type="fixed"/>
          <w:tblCellMar>
            <w:top w:w="0" w:type="dxa"/>
            <w:left w:w="108" w:type="dxa"/>
            <w:bottom w:w="0" w:type="dxa"/>
            <w:right w:w="108" w:type="dxa"/>
          </w:tblCellMar>
        </w:tblPrEx>
        <w:trPr>
          <w:trHeight w:val="675" w:hRule="atLeast"/>
          <w:jc w:val="center"/>
        </w:trPr>
        <w:tc>
          <w:tcPr>
            <w:tcW w:w="129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可持续影响指标</w:t>
            </w:r>
          </w:p>
        </w:tc>
        <w:tc>
          <w:tcPr>
            <w:tcW w:w="31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完善排水设施，缓解下年度渍水状况</w:t>
            </w:r>
          </w:p>
        </w:tc>
        <w:tc>
          <w:tcPr>
            <w:tcW w:w="18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可行</w:t>
            </w:r>
          </w:p>
        </w:tc>
      </w:tr>
      <w:tr>
        <w:tblPrEx>
          <w:tblLayout w:type="fixed"/>
          <w:tblCellMar>
            <w:top w:w="0" w:type="dxa"/>
            <w:left w:w="108" w:type="dxa"/>
            <w:bottom w:w="0" w:type="dxa"/>
            <w:right w:w="108" w:type="dxa"/>
          </w:tblCellMar>
        </w:tblPrEx>
        <w:trPr>
          <w:trHeight w:val="675" w:hRule="atLeast"/>
          <w:jc w:val="center"/>
        </w:trPr>
        <w:tc>
          <w:tcPr>
            <w:tcW w:w="129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社会公众或服务对象满意度指标</w:t>
            </w:r>
          </w:p>
        </w:tc>
        <w:tc>
          <w:tcPr>
            <w:tcW w:w="31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泵站排水辖区内渍水情况居民满意度</w:t>
            </w:r>
          </w:p>
        </w:tc>
        <w:tc>
          <w:tcPr>
            <w:tcW w:w="18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90%以上</w:t>
            </w:r>
          </w:p>
        </w:tc>
      </w:tr>
    </w:tbl>
    <w:p>
      <w:pPr>
        <w:spacing w:line="520" w:lineRule="exact"/>
        <w:ind w:firstLine="562" w:firstLineChars="200"/>
        <w:jc w:val="center"/>
        <w:rPr>
          <w:rFonts w:ascii="仿宋" w:hAnsi="仿宋" w:eastAsia="仿宋"/>
          <w:b/>
          <w:bCs w:val="0"/>
          <w:sz w:val="28"/>
          <w:szCs w:val="28"/>
        </w:rPr>
      </w:pPr>
      <w:r>
        <w:rPr>
          <w:rFonts w:hint="eastAsia" w:ascii="仿宋" w:hAnsi="仿宋" w:eastAsia="仿宋"/>
          <w:b/>
          <w:bCs w:val="0"/>
          <w:sz w:val="28"/>
          <w:szCs w:val="28"/>
        </w:rPr>
        <w:t>泵站运行电费项目绩效指标设置</w:t>
      </w:r>
    </w:p>
    <w:tbl>
      <w:tblPr>
        <w:tblStyle w:val="9"/>
        <w:tblW w:w="8379" w:type="dxa"/>
        <w:jc w:val="center"/>
        <w:tblInd w:w="93" w:type="dxa"/>
        <w:tblLayout w:type="fixed"/>
        <w:tblCellMar>
          <w:top w:w="0" w:type="dxa"/>
          <w:left w:w="108" w:type="dxa"/>
          <w:bottom w:w="0" w:type="dxa"/>
          <w:right w:w="108" w:type="dxa"/>
        </w:tblCellMar>
      </w:tblPr>
      <w:tblGrid>
        <w:gridCol w:w="1291"/>
        <w:gridCol w:w="2268"/>
        <w:gridCol w:w="2977"/>
        <w:gridCol w:w="1843"/>
      </w:tblGrid>
      <w:tr>
        <w:tblPrEx>
          <w:tblLayout w:type="fixed"/>
          <w:tblCellMar>
            <w:top w:w="0" w:type="dxa"/>
            <w:left w:w="108" w:type="dxa"/>
            <w:bottom w:w="0" w:type="dxa"/>
            <w:right w:w="108" w:type="dxa"/>
          </w:tblCellMar>
        </w:tblPrEx>
        <w:trPr>
          <w:trHeight w:val="480" w:hRule="atLeast"/>
          <w:tblHeader/>
          <w:jc w:val="center"/>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一级指标</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二级指标</w:t>
            </w:r>
          </w:p>
        </w:tc>
        <w:tc>
          <w:tcPr>
            <w:tcW w:w="29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指标内容</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指标值</w:t>
            </w:r>
          </w:p>
        </w:tc>
      </w:tr>
      <w:tr>
        <w:tblPrEx>
          <w:tblLayout w:type="fixed"/>
          <w:tblCellMar>
            <w:top w:w="0" w:type="dxa"/>
            <w:left w:w="108" w:type="dxa"/>
            <w:bottom w:w="0" w:type="dxa"/>
            <w:right w:w="108" w:type="dxa"/>
          </w:tblCellMar>
        </w:tblPrEx>
        <w:trPr>
          <w:trHeight w:val="975" w:hRule="atLeast"/>
          <w:jc w:val="center"/>
        </w:trPr>
        <w:tc>
          <w:tcPr>
            <w:tcW w:w="1291"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产出指标</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数量指标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市属12座排水泵站</w:t>
            </w:r>
            <w:r>
              <w:rPr>
                <w:rFonts w:hint="eastAsia" w:ascii="仿宋" w:hAnsi="仿宋" w:eastAsia="仿宋" w:cs="宋体"/>
                <w:kern w:val="0"/>
                <w:sz w:val="24"/>
                <w:lang w:eastAsia="zh-CN"/>
              </w:rPr>
              <w:t>、</w:t>
            </w:r>
            <w:r>
              <w:rPr>
                <w:rFonts w:hint="eastAsia" w:ascii="仿宋" w:hAnsi="仿宋" w:eastAsia="仿宋" w:cs="宋体"/>
                <w:kern w:val="0"/>
                <w:sz w:val="24"/>
              </w:rPr>
              <w:t>94台水泵电机、配套机电设备、办公设备的用电</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100%</w:t>
            </w:r>
          </w:p>
        </w:tc>
      </w:tr>
      <w:tr>
        <w:tblPrEx>
          <w:tblLayout w:type="fixed"/>
          <w:tblCellMar>
            <w:top w:w="0" w:type="dxa"/>
            <w:left w:w="108" w:type="dxa"/>
            <w:bottom w:w="0" w:type="dxa"/>
            <w:right w:w="108" w:type="dxa"/>
          </w:tblCellMar>
        </w:tblPrEx>
        <w:trPr>
          <w:trHeight w:val="495" w:hRule="atLeast"/>
          <w:jc w:val="center"/>
        </w:trPr>
        <w:tc>
          <w:tcPr>
            <w:tcW w:w="1291" w:type="dxa"/>
            <w:vMerge w:val="continue"/>
            <w:tcBorders>
              <w:top w:val="nil"/>
              <w:left w:val="single" w:color="auto" w:sz="4" w:space="0"/>
              <w:bottom w:val="nil"/>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质量指标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泵站运行</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正常</w:t>
            </w:r>
          </w:p>
        </w:tc>
      </w:tr>
      <w:tr>
        <w:tblPrEx>
          <w:tblLayout w:type="fixed"/>
          <w:tblCellMar>
            <w:top w:w="0" w:type="dxa"/>
            <w:left w:w="108" w:type="dxa"/>
            <w:bottom w:w="0" w:type="dxa"/>
            <w:right w:w="108" w:type="dxa"/>
          </w:tblCellMar>
        </w:tblPrEx>
        <w:trPr>
          <w:trHeight w:val="480" w:hRule="atLeast"/>
          <w:jc w:val="center"/>
        </w:trPr>
        <w:tc>
          <w:tcPr>
            <w:tcW w:w="1291" w:type="dxa"/>
            <w:vMerge w:val="continue"/>
            <w:tcBorders>
              <w:top w:val="nil"/>
              <w:left w:val="single" w:color="auto" w:sz="4" w:space="0"/>
              <w:bottom w:val="nil"/>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时效指标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当年</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1年</w:t>
            </w:r>
          </w:p>
        </w:tc>
      </w:tr>
      <w:tr>
        <w:tblPrEx>
          <w:tblLayout w:type="fixed"/>
          <w:tblCellMar>
            <w:top w:w="0" w:type="dxa"/>
            <w:left w:w="108" w:type="dxa"/>
            <w:bottom w:w="0" w:type="dxa"/>
            <w:right w:w="108" w:type="dxa"/>
          </w:tblCellMar>
        </w:tblPrEx>
        <w:trPr>
          <w:trHeight w:val="465" w:hRule="atLeast"/>
          <w:jc w:val="center"/>
        </w:trPr>
        <w:tc>
          <w:tcPr>
            <w:tcW w:w="1291" w:type="dxa"/>
            <w:vMerge w:val="continue"/>
            <w:tcBorders>
              <w:top w:val="nil"/>
              <w:left w:val="single" w:color="auto" w:sz="4" w:space="0"/>
              <w:bottom w:val="nil"/>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成本指标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当年预算安排</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kern w:val="0"/>
                <w:sz w:val="24"/>
                <w:lang w:val="en-US" w:eastAsia="zh-CN"/>
              </w:rPr>
            </w:pPr>
            <w:r>
              <w:rPr>
                <w:rFonts w:hint="eastAsia" w:ascii="仿宋" w:hAnsi="仿宋" w:eastAsia="仿宋" w:cs="宋体"/>
                <w:kern w:val="0"/>
                <w:sz w:val="24"/>
              </w:rPr>
              <w:t>1820</w:t>
            </w:r>
            <w:r>
              <w:rPr>
                <w:rFonts w:hint="eastAsia" w:ascii="仿宋" w:hAnsi="仿宋" w:eastAsia="仿宋" w:cs="宋体"/>
                <w:kern w:val="0"/>
                <w:sz w:val="24"/>
                <w:lang w:eastAsia="zh-CN"/>
              </w:rPr>
              <w:t>万元</w:t>
            </w:r>
          </w:p>
        </w:tc>
      </w:tr>
      <w:tr>
        <w:tblPrEx>
          <w:tblLayout w:type="fixed"/>
          <w:tblCellMar>
            <w:top w:w="0" w:type="dxa"/>
            <w:left w:w="108" w:type="dxa"/>
            <w:bottom w:w="0" w:type="dxa"/>
            <w:right w:w="108" w:type="dxa"/>
          </w:tblCellMar>
        </w:tblPrEx>
        <w:trPr>
          <w:trHeight w:val="585" w:hRule="atLeast"/>
          <w:jc w:val="center"/>
        </w:trPr>
        <w:tc>
          <w:tcPr>
            <w:tcW w:w="12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效益指标</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经济效益指标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惠民工程，无直接经济效益</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lang w:val="en-US" w:eastAsia="zh-CN"/>
              </w:rPr>
              <w:t>/</w:t>
            </w:r>
            <w:r>
              <w:rPr>
                <w:rFonts w:hint="eastAsia" w:ascii="仿宋" w:hAnsi="仿宋" w:eastAsia="仿宋" w:cs="宋体"/>
                <w:kern w:val="0"/>
                <w:sz w:val="24"/>
              </w:rPr>
              <w:t>　</w:t>
            </w:r>
          </w:p>
        </w:tc>
      </w:tr>
      <w:tr>
        <w:tblPrEx>
          <w:tblLayout w:type="fixed"/>
          <w:tblCellMar>
            <w:top w:w="0" w:type="dxa"/>
            <w:left w:w="108" w:type="dxa"/>
            <w:bottom w:w="0" w:type="dxa"/>
            <w:right w:w="108" w:type="dxa"/>
          </w:tblCellMar>
        </w:tblPrEx>
        <w:trPr>
          <w:trHeight w:val="555" w:hRule="atLeast"/>
          <w:jc w:val="center"/>
        </w:trPr>
        <w:tc>
          <w:tcPr>
            <w:tcW w:w="12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社会效益指标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最大限度确保城市不出现严重渍水</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良好</w:t>
            </w:r>
          </w:p>
        </w:tc>
      </w:tr>
      <w:tr>
        <w:tblPrEx>
          <w:tblLayout w:type="fixed"/>
          <w:tblCellMar>
            <w:top w:w="0" w:type="dxa"/>
            <w:left w:w="108" w:type="dxa"/>
            <w:bottom w:w="0" w:type="dxa"/>
            <w:right w:w="108" w:type="dxa"/>
          </w:tblCellMar>
        </w:tblPrEx>
        <w:trPr>
          <w:trHeight w:val="480" w:hRule="atLeast"/>
          <w:jc w:val="center"/>
        </w:trPr>
        <w:tc>
          <w:tcPr>
            <w:tcW w:w="12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环境效益指标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highlight w:val="none"/>
              </w:rPr>
            </w:pPr>
            <w:r>
              <w:rPr>
                <w:rFonts w:hint="eastAsia" w:ascii="仿宋" w:hAnsi="仿宋" w:eastAsia="仿宋" w:cs="宋体"/>
                <w:kern w:val="0"/>
                <w:sz w:val="24"/>
                <w:highlight w:val="none"/>
              </w:rPr>
              <w:t>改善城市环境</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highlight w:val="none"/>
              </w:rPr>
            </w:pPr>
            <w:r>
              <w:rPr>
                <w:rFonts w:hint="eastAsia" w:ascii="仿宋" w:hAnsi="仿宋" w:eastAsia="仿宋" w:cs="宋体"/>
                <w:kern w:val="0"/>
                <w:sz w:val="24"/>
                <w:highlight w:val="none"/>
              </w:rPr>
              <w:t>好</w:t>
            </w:r>
          </w:p>
        </w:tc>
      </w:tr>
      <w:tr>
        <w:tblPrEx>
          <w:tblLayout w:type="fixed"/>
          <w:tblCellMar>
            <w:top w:w="0" w:type="dxa"/>
            <w:left w:w="108" w:type="dxa"/>
            <w:bottom w:w="0" w:type="dxa"/>
            <w:right w:w="108" w:type="dxa"/>
          </w:tblCellMar>
        </w:tblPrEx>
        <w:trPr>
          <w:trHeight w:val="420" w:hRule="atLeast"/>
          <w:jc w:val="center"/>
        </w:trPr>
        <w:tc>
          <w:tcPr>
            <w:tcW w:w="12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可持续影响指标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highlight w:val="none"/>
              </w:rPr>
            </w:pPr>
            <w:r>
              <w:rPr>
                <w:rFonts w:hint="eastAsia" w:ascii="仿宋" w:hAnsi="仿宋" w:eastAsia="仿宋" w:cs="宋体"/>
                <w:kern w:val="0"/>
                <w:sz w:val="24"/>
                <w:highlight w:val="none"/>
              </w:rPr>
              <w:t xml:space="preserve"> </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highlight w:val="none"/>
              </w:rPr>
            </w:pPr>
            <w:r>
              <w:rPr>
                <w:rFonts w:hint="eastAsia" w:ascii="仿宋" w:hAnsi="仿宋" w:eastAsia="仿宋" w:cs="宋体"/>
                <w:kern w:val="0"/>
                <w:sz w:val="24"/>
                <w:highlight w:val="none"/>
              </w:rPr>
              <w:t>可持续</w:t>
            </w:r>
          </w:p>
        </w:tc>
      </w:tr>
      <w:tr>
        <w:tblPrEx>
          <w:tblLayout w:type="fixed"/>
          <w:tblCellMar>
            <w:top w:w="0" w:type="dxa"/>
            <w:left w:w="108" w:type="dxa"/>
            <w:bottom w:w="0" w:type="dxa"/>
            <w:right w:w="108" w:type="dxa"/>
          </w:tblCellMar>
        </w:tblPrEx>
        <w:trPr>
          <w:trHeight w:val="585" w:hRule="atLeast"/>
          <w:jc w:val="center"/>
        </w:trPr>
        <w:tc>
          <w:tcPr>
            <w:tcW w:w="12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社会公众或服务对象满意度指标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highlight w:val="none"/>
              </w:rPr>
            </w:pPr>
            <w:r>
              <w:rPr>
                <w:rFonts w:hint="eastAsia" w:ascii="仿宋" w:hAnsi="仿宋" w:eastAsia="仿宋" w:cs="宋体"/>
                <w:kern w:val="0"/>
                <w:sz w:val="24"/>
                <w:highlight w:val="none"/>
              </w:rPr>
              <w:t>市民满意度</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highlight w:val="none"/>
              </w:rPr>
            </w:pPr>
            <w:r>
              <w:rPr>
                <w:rFonts w:hint="eastAsia" w:ascii="仿宋" w:hAnsi="仿宋" w:eastAsia="仿宋" w:cs="宋体"/>
                <w:kern w:val="0"/>
                <w:sz w:val="24"/>
                <w:highlight w:val="none"/>
              </w:rPr>
              <w:t>90%</w:t>
            </w:r>
          </w:p>
        </w:tc>
      </w:tr>
    </w:tbl>
    <w:p>
      <w:pPr>
        <w:spacing w:line="240" w:lineRule="auto"/>
        <w:ind w:firstLine="562" w:firstLineChars="200"/>
        <w:jc w:val="center"/>
        <w:rPr>
          <w:rFonts w:ascii="仿宋" w:hAnsi="仿宋" w:eastAsia="仿宋"/>
          <w:b/>
          <w:bCs w:val="0"/>
          <w:sz w:val="28"/>
          <w:szCs w:val="28"/>
        </w:rPr>
      </w:pPr>
      <w:r>
        <w:rPr>
          <w:rFonts w:hint="eastAsia" w:ascii="仿宋" w:hAnsi="仿宋" w:eastAsia="仿宋"/>
          <w:b/>
          <w:bCs w:val="0"/>
          <w:sz w:val="28"/>
          <w:szCs w:val="28"/>
        </w:rPr>
        <w:t>江南、后湖四期、四新泵站及双回路工程维护费项目绩效指标设置</w:t>
      </w:r>
    </w:p>
    <w:tbl>
      <w:tblPr>
        <w:tblStyle w:val="9"/>
        <w:tblW w:w="8379" w:type="dxa"/>
        <w:jc w:val="center"/>
        <w:tblInd w:w="0" w:type="dxa"/>
        <w:tblLayout w:type="fixed"/>
        <w:tblCellMar>
          <w:top w:w="0" w:type="dxa"/>
          <w:left w:w="108" w:type="dxa"/>
          <w:bottom w:w="0" w:type="dxa"/>
          <w:right w:w="108" w:type="dxa"/>
        </w:tblCellMar>
      </w:tblPr>
      <w:tblGrid>
        <w:gridCol w:w="1291"/>
        <w:gridCol w:w="2268"/>
        <w:gridCol w:w="2977"/>
        <w:gridCol w:w="1843"/>
      </w:tblGrid>
      <w:tr>
        <w:tblPrEx>
          <w:tblLayout w:type="fixed"/>
          <w:tblCellMar>
            <w:top w:w="0" w:type="dxa"/>
            <w:left w:w="108" w:type="dxa"/>
            <w:bottom w:w="0" w:type="dxa"/>
            <w:right w:w="108" w:type="dxa"/>
          </w:tblCellMar>
        </w:tblPrEx>
        <w:trPr>
          <w:trHeight w:val="480" w:hRule="atLeast"/>
          <w:tblHeader/>
          <w:jc w:val="center"/>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一级指标</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二级指标</w:t>
            </w:r>
          </w:p>
        </w:tc>
        <w:tc>
          <w:tcPr>
            <w:tcW w:w="29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指标内容</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指标值</w:t>
            </w:r>
          </w:p>
        </w:tc>
      </w:tr>
      <w:tr>
        <w:tblPrEx>
          <w:tblLayout w:type="fixed"/>
          <w:tblCellMar>
            <w:top w:w="0" w:type="dxa"/>
            <w:left w:w="108" w:type="dxa"/>
            <w:bottom w:w="0" w:type="dxa"/>
            <w:right w:w="108" w:type="dxa"/>
          </w:tblCellMar>
        </w:tblPrEx>
        <w:trPr>
          <w:trHeight w:val="1140" w:hRule="atLeast"/>
          <w:jc w:val="center"/>
        </w:trPr>
        <w:tc>
          <w:tcPr>
            <w:tcW w:w="1291"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产出指标</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数量指标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江南、后湖四期、四新泵站维护改造完成情况</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100%</w:t>
            </w:r>
          </w:p>
        </w:tc>
      </w:tr>
      <w:tr>
        <w:tblPrEx>
          <w:tblLayout w:type="fixed"/>
          <w:tblCellMar>
            <w:top w:w="0" w:type="dxa"/>
            <w:left w:w="108" w:type="dxa"/>
            <w:bottom w:w="0" w:type="dxa"/>
            <w:right w:w="108" w:type="dxa"/>
          </w:tblCellMar>
        </w:tblPrEx>
        <w:trPr>
          <w:trHeight w:val="480" w:hRule="atLeast"/>
          <w:jc w:val="center"/>
        </w:trPr>
        <w:tc>
          <w:tcPr>
            <w:tcW w:w="1291" w:type="dxa"/>
            <w:vMerge w:val="continue"/>
            <w:tcBorders>
              <w:top w:val="nil"/>
              <w:left w:val="single" w:color="auto" w:sz="4" w:space="0"/>
              <w:bottom w:val="nil"/>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质量指标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泵站设备完好率</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90%</w:t>
            </w:r>
          </w:p>
        </w:tc>
      </w:tr>
      <w:tr>
        <w:tblPrEx>
          <w:tblLayout w:type="fixed"/>
          <w:tblCellMar>
            <w:top w:w="0" w:type="dxa"/>
            <w:left w:w="108" w:type="dxa"/>
            <w:bottom w:w="0" w:type="dxa"/>
            <w:right w:w="108" w:type="dxa"/>
          </w:tblCellMar>
        </w:tblPrEx>
        <w:trPr>
          <w:trHeight w:val="480" w:hRule="atLeast"/>
          <w:jc w:val="center"/>
        </w:trPr>
        <w:tc>
          <w:tcPr>
            <w:tcW w:w="1291" w:type="dxa"/>
            <w:vMerge w:val="continue"/>
            <w:tcBorders>
              <w:top w:val="nil"/>
              <w:left w:val="single" w:color="auto" w:sz="4" w:space="0"/>
              <w:bottom w:val="nil"/>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时效指标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泵站开机率</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100%</w:t>
            </w:r>
          </w:p>
        </w:tc>
      </w:tr>
      <w:tr>
        <w:tblPrEx>
          <w:tblLayout w:type="fixed"/>
          <w:tblCellMar>
            <w:top w:w="0" w:type="dxa"/>
            <w:left w:w="108" w:type="dxa"/>
            <w:bottom w:w="0" w:type="dxa"/>
            <w:right w:w="108" w:type="dxa"/>
          </w:tblCellMar>
        </w:tblPrEx>
        <w:trPr>
          <w:trHeight w:val="480" w:hRule="atLeast"/>
          <w:jc w:val="center"/>
        </w:trPr>
        <w:tc>
          <w:tcPr>
            <w:tcW w:w="129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成本指标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控制在预算内</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kern w:val="0"/>
                <w:sz w:val="24"/>
                <w:lang w:eastAsia="zh-CN"/>
              </w:rPr>
            </w:pPr>
            <w:r>
              <w:rPr>
                <w:rFonts w:hint="eastAsia" w:ascii="仿宋" w:hAnsi="仿宋" w:eastAsia="仿宋" w:cs="宋体"/>
                <w:kern w:val="0"/>
                <w:sz w:val="24"/>
              </w:rPr>
              <w:t>2533</w:t>
            </w:r>
            <w:r>
              <w:rPr>
                <w:rFonts w:hint="eastAsia" w:ascii="仿宋" w:hAnsi="仿宋" w:eastAsia="仿宋" w:cs="宋体"/>
                <w:kern w:val="0"/>
                <w:sz w:val="24"/>
                <w:lang w:eastAsia="zh-CN"/>
              </w:rPr>
              <w:t>万元</w:t>
            </w:r>
          </w:p>
        </w:tc>
      </w:tr>
      <w:tr>
        <w:tblPrEx>
          <w:tblLayout w:type="fixed"/>
          <w:tblCellMar>
            <w:top w:w="0" w:type="dxa"/>
            <w:left w:w="108" w:type="dxa"/>
            <w:bottom w:w="0" w:type="dxa"/>
            <w:right w:w="108" w:type="dxa"/>
          </w:tblCellMar>
        </w:tblPrEx>
        <w:trPr>
          <w:trHeight w:val="555" w:hRule="atLeast"/>
          <w:jc w:val="center"/>
        </w:trPr>
        <w:tc>
          <w:tcPr>
            <w:tcW w:w="12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效益指标</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经济效益指标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减轻因渍水而造成的社会经济损失</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　</w:t>
            </w:r>
          </w:p>
        </w:tc>
      </w:tr>
      <w:tr>
        <w:tblPrEx>
          <w:tblLayout w:type="fixed"/>
          <w:tblCellMar>
            <w:top w:w="0" w:type="dxa"/>
            <w:left w:w="108" w:type="dxa"/>
            <w:bottom w:w="0" w:type="dxa"/>
            <w:right w:w="108" w:type="dxa"/>
          </w:tblCellMar>
        </w:tblPrEx>
        <w:trPr>
          <w:trHeight w:val="585" w:hRule="atLeast"/>
          <w:jc w:val="center"/>
        </w:trPr>
        <w:tc>
          <w:tcPr>
            <w:tcW w:w="12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社会效益指标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最大限度确保城市不出现严重渍水</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好</w:t>
            </w:r>
          </w:p>
        </w:tc>
      </w:tr>
      <w:tr>
        <w:tblPrEx>
          <w:tblLayout w:type="fixed"/>
          <w:tblCellMar>
            <w:top w:w="0" w:type="dxa"/>
            <w:left w:w="108" w:type="dxa"/>
            <w:bottom w:w="0" w:type="dxa"/>
            <w:right w:w="108" w:type="dxa"/>
          </w:tblCellMar>
        </w:tblPrEx>
        <w:trPr>
          <w:trHeight w:val="480" w:hRule="atLeast"/>
          <w:jc w:val="center"/>
        </w:trPr>
        <w:tc>
          <w:tcPr>
            <w:tcW w:w="12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环境效益指标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改善城市环境</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好</w:t>
            </w:r>
          </w:p>
        </w:tc>
      </w:tr>
      <w:tr>
        <w:tblPrEx>
          <w:tblLayout w:type="fixed"/>
          <w:tblCellMar>
            <w:top w:w="0" w:type="dxa"/>
            <w:left w:w="108" w:type="dxa"/>
            <w:bottom w:w="0" w:type="dxa"/>
            <w:right w:w="108" w:type="dxa"/>
          </w:tblCellMar>
        </w:tblPrEx>
        <w:trPr>
          <w:trHeight w:val="585" w:hRule="atLeast"/>
          <w:jc w:val="center"/>
        </w:trPr>
        <w:tc>
          <w:tcPr>
            <w:tcW w:w="12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可持续影响指标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完善排水设施，缓解下年度渍水状况</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可行</w:t>
            </w:r>
          </w:p>
        </w:tc>
      </w:tr>
      <w:tr>
        <w:tblPrEx>
          <w:tblLayout w:type="fixed"/>
          <w:tblCellMar>
            <w:top w:w="0" w:type="dxa"/>
            <w:left w:w="108" w:type="dxa"/>
            <w:bottom w:w="0" w:type="dxa"/>
            <w:right w:w="108" w:type="dxa"/>
          </w:tblCellMar>
        </w:tblPrEx>
        <w:trPr>
          <w:trHeight w:val="675" w:hRule="atLeast"/>
          <w:jc w:val="center"/>
        </w:trPr>
        <w:tc>
          <w:tcPr>
            <w:tcW w:w="12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社会公众或服务对象满意度指标</w:t>
            </w:r>
          </w:p>
        </w:tc>
        <w:tc>
          <w:tcPr>
            <w:tcW w:w="297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r>
              <w:rPr>
                <w:rFonts w:hint="eastAsia" w:ascii="仿宋" w:hAnsi="仿宋" w:eastAsia="仿宋" w:cs="宋体"/>
                <w:kern w:val="0"/>
                <w:sz w:val="24"/>
              </w:rPr>
              <w:t>泵站排水辖区内渍水情况居民满意度</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90%以上</w:t>
            </w:r>
          </w:p>
        </w:tc>
      </w:tr>
    </w:tbl>
    <w:p>
      <w:pPr>
        <w:spacing w:line="520" w:lineRule="exact"/>
        <w:ind w:firstLine="560" w:firstLineChars="200"/>
        <w:rPr>
          <w:rFonts w:ascii="仿宋" w:hAnsi="仿宋" w:eastAsia="仿宋"/>
          <w:bCs/>
          <w:sz w:val="28"/>
          <w:szCs w:val="28"/>
        </w:rPr>
      </w:pPr>
    </w:p>
    <w:p>
      <w:pPr>
        <w:spacing w:line="520" w:lineRule="exact"/>
        <w:ind w:firstLine="560" w:firstLineChars="200"/>
        <w:outlineLvl w:val="1"/>
        <w:rPr>
          <w:rFonts w:ascii="仿宋" w:hAnsi="仿宋" w:eastAsia="仿宋"/>
          <w:bCs/>
          <w:sz w:val="28"/>
          <w:szCs w:val="28"/>
        </w:rPr>
      </w:pPr>
      <w:bookmarkStart w:id="7" w:name="_Toc517708012"/>
      <w:r>
        <w:rPr>
          <w:rFonts w:hint="eastAsia" w:ascii="仿宋" w:hAnsi="仿宋" w:eastAsia="仿宋"/>
          <w:bCs/>
          <w:sz w:val="28"/>
          <w:szCs w:val="28"/>
        </w:rPr>
        <w:t>（三）经费来源及支出情况</w:t>
      </w:r>
      <w:bookmarkEnd w:id="6"/>
      <w:bookmarkEnd w:id="7"/>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2017年项目</w:t>
      </w:r>
      <w:r>
        <w:rPr>
          <w:rFonts w:hint="eastAsia" w:ascii="仿宋" w:hAnsi="仿宋" w:eastAsia="仿宋"/>
          <w:bCs/>
          <w:sz w:val="28"/>
          <w:szCs w:val="28"/>
          <w:lang w:eastAsia="zh-CN"/>
        </w:rPr>
        <w:t>支出</w:t>
      </w:r>
      <w:r>
        <w:rPr>
          <w:rFonts w:hint="eastAsia" w:ascii="仿宋" w:hAnsi="仿宋" w:eastAsia="仿宋"/>
          <w:bCs/>
          <w:sz w:val="28"/>
          <w:szCs w:val="28"/>
        </w:rPr>
        <w:t>预算6229.98万元，其中一般公共预算财政拨款收入5161.24万元、其他收入600万元、上年结转财政拨款468.74万元。项目</w:t>
      </w:r>
      <w:r>
        <w:rPr>
          <w:rFonts w:hint="eastAsia" w:ascii="仿宋" w:hAnsi="仿宋" w:eastAsia="仿宋"/>
          <w:bCs/>
          <w:sz w:val="28"/>
          <w:szCs w:val="28"/>
          <w:lang w:eastAsia="zh-CN"/>
        </w:rPr>
        <w:t>支出预算</w:t>
      </w:r>
      <w:r>
        <w:rPr>
          <w:rFonts w:hint="eastAsia" w:ascii="仿宋" w:hAnsi="仿宋" w:eastAsia="仿宋"/>
          <w:bCs/>
          <w:sz w:val="28"/>
          <w:szCs w:val="28"/>
        </w:rPr>
        <w:t>具体情况：灾后水利设施建设项目336.09万元、排水设施维修改造</w:t>
      </w:r>
      <w:r>
        <w:rPr>
          <w:rFonts w:hint="eastAsia" w:ascii="仿宋" w:hAnsi="仿宋" w:eastAsia="仿宋"/>
          <w:bCs/>
          <w:sz w:val="28"/>
          <w:szCs w:val="28"/>
          <w:lang w:eastAsia="zh-CN"/>
        </w:rPr>
        <w:t>项目</w:t>
      </w:r>
      <w:r>
        <w:rPr>
          <w:rFonts w:hint="eastAsia" w:ascii="仿宋" w:hAnsi="仿宋" w:eastAsia="仿宋"/>
          <w:bCs/>
          <w:sz w:val="28"/>
          <w:szCs w:val="28"/>
        </w:rPr>
        <w:t>114.65万元、市管泵站及明渠箱涵设施维护改造</w:t>
      </w:r>
      <w:r>
        <w:rPr>
          <w:rFonts w:hint="eastAsia" w:ascii="仿宋" w:hAnsi="仿宋" w:eastAsia="仿宋"/>
          <w:bCs/>
          <w:sz w:val="28"/>
          <w:szCs w:val="28"/>
          <w:lang w:eastAsia="zh-CN"/>
        </w:rPr>
        <w:t>项目</w:t>
      </w:r>
      <w:r>
        <w:rPr>
          <w:rFonts w:hint="eastAsia" w:ascii="仿宋" w:hAnsi="仿宋" w:eastAsia="仿宋"/>
          <w:bCs/>
          <w:sz w:val="28"/>
          <w:szCs w:val="28"/>
        </w:rPr>
        <w:t>1408.23万元，水务应急项目18万元，泵站运行电费</w:t>
      </w:r>
      <w:r>
        <w:rPr>
          <w:rFonts w:hint="eastAsia" w:ascii="仿宋" w:hAnsi="仿宋" w:eastAsia="仿宋"/>
          <w:bCs/>
          <w:sz w:val="28"/>
          <w:szCs w:val="28"/>
          <w:lang w:eastAsia="zh-CN"/>
        </w:rPr>
        <w:t>项目</w:t>
      </w:r>
      <w:r>
        <w:rPr>
          <w:rFonts w:hint="eastAsia" w:ascii="仿宋" w:hAnsi="仿宋" w:eastAsia="仿宋"/>
          <w:bCs/>
          <w:sz w:val="28"/>
          <w:szCs w:val="28"/>
        </w:rPr>
        <w:t>1820</w:t>
      </w:r>
      <w:r>
        <w:rPr>
          <w:rFonts w:hint="eastAsia" w:ascii="仿宋" w:hAnsi="仿宋" w:eastAsia="仿宋"/>
          <w:bCs/>
          <w:sz w:val="28"/>
          <w:szCs w:val="28"/>
          <w:lang w:eastAsia="zh-CN"/>
        </w:rPr>
        <w:t>万</w:t>
      </w:r>
      <w:r>
        <w:rPr>
          <w:rFonts w:hint="eastAsia" w:ascii="仿宋" w:hAnsi="仿宋" w:eastAsia="仿宋"/>
          <w:bCs/>
          <w:sz w:val="28"/>
          <w:szCs w:val="28"/>
        </w:rPr>
        <w:t>元，江南、后湖四期、四新泵站及双回路工程维护费</w:t>
      </w:r>
      <w:r>
        <w:rPr>
          <w:rFonts w:hint="eastAsia" w:ascii="仿宋" w:hAnsi="仿宋" w:eastAsia="仿宋"/>
          <w:bCs/>
          <w:sz w:val="28"/>
          <w:szCs w:val="28"/>
          <w:lang w:eastAsia="zh-CN"/>
        </w:rPr>
        <w:t>项目</w:t>
      </w:r>
      <w:r>
        <w:rPr>
          <w:rFonts w:hint="eastAsia" w:ascii="仿宋" w:hAnsi="仿宋" w:eastAsia="仿宋"/>
          <w:bCs/>
          <w:sz w:val="28"/>
          <w:szCs w:val="28"/>
        </w:rPr>
        <w:t>2533万元。</w:t>
      </w:r>
    </w:p>
    <w:p>
      <w:pPr>
        <w:spacing w:line="520" w:lineRule="exact"/>
        <w:ind w:firstLine="560" w:firstLineChars="200"/>
        <w:outlineLvl w:val="0"/>
        <w:rPr>
          <w:rFonts w:hint="eastAsia" w:ascii="仿宋" w:hAnsi="仿宋" w:eastAsia="仿宋"/>
          <w:bCs/>
          <w:sz w:val="28"/>
          <w:szCs w:val="28"/>
          <w:lang w:val="en-US" w:eastAsia="zh-CN"/>
        </w:rPr>
      </w:pPr>
      <w:r>
        <w:rPr>
          <w:rFonts w:hint="eastAsia" w:ascii="仿宋" w:hAnsi="仿宋" w:eastAsia="仿宋"/>
          <w:bCs/>
          <w:sz w:val="28"/>
          <w:szCs w:val="28"/>
        </w:rPr>
        <w:t>截止2017年12月31日，</w:t>
      </w:r>
      <w:r>
        <w:rPr>
          <w:rFonts w:hint="eastAsia" w:ascii="仿宋" w:hAnsi="仿宋" w:eastAsia="仿宋"/>
          <w:bCs/>
          <w:sz w:val="28"/>
          <w:szCs w:val="28"/>
          <w:lang w:eastAsia="zh-CN"/>
        </w:rPr>
        <w:t>实际</w:t>
      </w:r>
      <w:r>
        <w:rPr>
          <w:rFonts w:hint="eastAsia" w:ascii="仿宋" w:hAnsi="仿宋" w:eastAsia="仿宋"/>
          <w:bCs/>
          <w:sz w:val="28"/>
          <w:szCs w:val="28"/>
        </w:rPr>
        <w:t>项目支出4602.78万元，其中：灾后水利设施建设项目</w:t>
      </w:r>
      <w:r>
        <w:rPr>
          <w:rFonts w:ascii="仿宋" w:hAnsi="仿宋" w:eastAsia="仿宋"/>
          <w:bCs/>
          <w:sz w:val="28"/>
          <w:szCs w:val="28"/>
        </w:rPr>
        <w:t>330.17</w:t>
      </w:r>
      <w:r>
        <w:rPr>
          <w:rFonts w:hint="eastAsia" w:ascii="仿宋" w:hAnsi="仿宋" w:eastAsia="仿宋"/>
          <w:bCs/>
          <w:sz w:val="28"/>
          <w:szCs w:val="28"/>
        </w:rPr>
        <w:t>万元、排水设施维修改造</w:t>
      </w:r>
      <w:r>
        <w:rPr>
          <w:rFonts w:hint="eastAsia" w:ascii="仿宋" w:hAnsi="仿宋" w:eastAsia="仿宋"/>
          <w:bCs/>
          <w:sz w:val="28"/>
          <w:szCs w:val="28"/>
          <w:lang w:eastAsia="zh-CN"/>
        </w:rPr>
        <w:t>项目</w:t>
      </w:r>
      <w:r>
        <w:rPr>
          <w:rFonts w:ascii="仿宋" w:hAnsi="仿宋" w:eastAsia="仿宋"/>
          <w:bCs/>
          <w:sz w:val="28"/>
          <w:szCs w:val="28"/>
        </w:rPr>
        <w:t>107.08</w:t>
      </w:r>
      <w:r>
        <w:rPr>
          <w:rFonts w:hint="eastAsia" w:ascii="仿宋" w:hAnsi="仿宋" w:eastAsia="仿宋"/>
          <w:bCs/>
          <w:sz w:val="28"/>
          <w:szCs w:val="28"/>
        </w:rPr>
        <w:t>万元、市管泵站及明渠箱涵设施维护改造</w:t>
      </w:r>
      <w:r>
        <w:rPr>
          <w:rFonts w:hint="eastAsia" w:ascii="仿宋" w:hAnsi="仿宋" w:eastAsia="仿宋"/>
          <w:bCs/>
          <w:sz w:val="28"/>
          <w:szCs w:val="28"/>
          <w:lang w:eastAsia="zh-CN"/>
        </w:rPr>
        <w:t>项目</w:t>
      </w:r>
      <w:r>
        <w:rPr>
          <w:rFonts w:ascii="仿宋" w:hAnsi="仿宋" w:eastAsia="仿宋"/>
          <w:bCs/>
          <w:sz w:val="28"/>
          <w:szCs w:val="28"/>
        </w:rPr>
        <w:t>606.74</w:t>
      </w:r>
      <w:r>
        <w:rPr>
          <w:rFonts w:hint="eastAsia" w:ascii="仿宋" w:hAnsi="仿宋" w:eastAsia="仿宋"/>
          <w:bCs/>
          <w:sz w:val="28"/>
          <w:szCs w:val="28"/>
        </w:rPr>
        <w:t>万元，水务应急项目18万元，泵站运行电费</w:t>
      </w:r>
      <w:r>
        <w:rPr>
          <w:rFonts w:hint="eastAsia" w:ascii="仿宋" w:hAnsi="仿宋" w:eastAsia="仿宋"/>
          <w:bCs/>
          <w:sz w:val="28"/>
          <w:szCs w:val="28"/>
          <w:lang w:eastAsia="zh-CN"/>
        </w:rPr>
        <w:t>项目</w:t>
      </w:r>
      <w:r>
        <w:rPr>
          <w:rFonts w:ascii="仿宋" w:hAnsi="仿宋" w:eastAsia="仿宋"/>
          <w:bCs/>
          <w:sz w:val="28"/>
          <w:szCs w:val="28"/>
        </w:rPr>
        <w:t>1220.01</w:t>
      </w:r>
      <w:r>
        <w:rPr>
          <w:rFonts w:hint="eastAsia" w:ascii="仿宋" w:hAnsi="仿宋" w:eastAsia="仿宋"/>
          <w:bCs/>
          <w:sz w:val="28"/>
          <w:szCs w:val="28"/>
          <w:lang w:eastAsia="zh-CN"/>
        </w:rPr>
        <w:t>万</w:t>
      </w:r>
      <w:r>
        <w:rPr>
          <w:rFonts w:hint="eastAsia" w:ascii="仿宋" w:hAnsi="仿宋" w:eastAsia="仿宋"/>
          <w:bCs/>
          <w:sz w:val="28"/>
          <w:szCs w:val="28"/>
        </w:rPr>
        <w:t>元，江南、后湖四期、四新泵站及双回路工程维护</w:t>
      </w:r>
      <w:r>
        <w:rPr>
          <w:rFonts w:hint="eastAsia" w:ascii="仿宋" w:hAnsi="仿宋" w:eastAsia="仿宋"/>
          <w:bCs/>
          <w:sz w:val="28"/>
          <w:szCs w:val="28"/>
          <w:lang w:eastAsia="zh-CN"/>
        </w:rPr>
        <w:t>费项目</w:t>
      </w:r>
      <w:r>
        <w:rPr>
          <w:rFonts w:ascii="仿宋" w:hAnsi="仿宋" w:eastAsia="仿宋"/>
          <w:bCs/>
          <w:sz w:val="28"/>
          <w:szCs w:val="28"/>
        </w:rPr>
        <w:t>2320.78</w:t>
      </w:r>
      <w:r>
        <w:rPr>
          <w:rFonts w:hint="eastAsia" w:ascii="仿宋" w:hAnsi="仿宋" w:eastAsia="仿宋"/>
          <w:bCs/>
          <w:sz w:val="28"/>
          <w:szCs w:val="28"/>
        </w:rPr>
        <w:t>万元。</w:t>
      </w:r>
      <w:bookmarkStart w:id="8" w:name="_Toc7334"/>
      <w:bookmarkStart w:id="9" w:name="_Toc511502532"/>
      <w:bookmarkStart w:id="10" w:name="_Toc517708013"/>
      <w:r>
        <w:rPr>
          <w:rFonts w:hint="eastAsia" w:ascii="仿宋" w:hAnsi="仿宋" w:eastAsia="仿宋"/>
          <w:bCs/>
          <w:sz w:val="28"/>
          <w:szCs w:val="28"/>
          <w:lang w:val="en-US" w:eastAsia="zh-CN"/>
        </w:rPr>
        <w:t xml:space="preserve"> </w:t>
      </w:r>
    </w:p>
    <w:p>
      <w:pPr>
        <w:spacing w:line="520" w:lineRule="exact"/>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二、绩效评价工作情况</w:t>
      </w:r>
      <w:bookmarkEnd w:id="8"/>
      <w:bookmarkEnd w:id="9"/>
      <w:bookmarkEnd w:id="10"/>
    </w:p>
    <w:p>
      <w:pPr>
        <w:spacing w:line="560" w:lineRule="exact"/>
        <w:ind w:firstLine="560" w:firstLineChars="200"/>
        <w:outlineLvl w:val="1"/>
        <w:rPr>
          <w:rFonts w:ascii="仿宋" w:hAnsi="仿宋" w:eastAsia="仿宋"/>
          <w:sz w:val="28"/>
          <w:szCs w:val="28"/>
        </w:rPr>
      </w:pPr>
      <w:bookmarkStart w:id="11" w:name="_Toc19011"/>
      <w:bookmarkStart w:id="12" w:name="_Toc511502533"/>
      <w:bookmarkStart w:id="13" w:name="_Toc517708014"/>
      <w:r>
        <w:rPr>
          <w:rFonts w:hint="eastAsia" w:ascii="仿宋" w:hAnsi="仿宋" w:eastAsia="仿宋"/>
          <w:sz w:val="28"/>
          <w:szCs w:val="28"/>
        </w:rPr>
        <w:t>（一）绩效评价目的</w:t>
      </w:r>
      <w:bookmarkEnd w:id="11"/>
      <w:bookmarkEnd w:id="12"/>
      <w:bookmarkEnd w:id="13"/>
    </w:p>
    <w:p>
      <w:pPr>
        <w:spacing w:line="520" w:lineRule="exact"/>
        <w:ind w:firstLine="560" w:firstLineChars="200"/>
        <w:rPr>
          <w:rFonts w:ascii="仿宋" w:hAnsi="仿宋" w:eastAsia="仿宋"/>
          <w:sz w:val="28"/>
          <w:szCs w:val="28"/>
        </w:rPr>
      </w:pPr>
      <w:r>
        <w:rPr>
          <w:rFonts w:hint="eastAsia" w:ascii="仿宋" w:hAnsi="仿宋" w:eastAsia="仿宋"/>
          <w:sz w:val="28"/>
          <w:szCs w:val="28"/>
        </w:rPr>
        <w:t>通过绩效评价，形成真实完整、数据准确、分析透彻、逻辑清晰、客观公正的绩效评价结论，为后期强化预算绩效管理提供重要依据。通过绩效评价，从效率的角度分析，准确掌握</w:t>
      </w:r>
      <w:r>
        <w:rPr>
          <w:rFonts w:hint="eastAsia" w:ascii="仿宋" w:hAnsi="仿宋" w:eastAsia="仿宋"/>
          <w:bCs/>
          <w:sz w:val="28"/>
          <w:szCs w:val="28"/>
        </w:rPr>
        <w:t>项目</w:t>
      </w:r>
      <w:r>
        <w:rPr>
          <w:rFonts w:hint="eastAsia" w:ascii="仿宋" w:hAnsi="仿宋" w:eastAsia="仿宋"/>
          <w:sz w:val="28"/>
          <w:szCs w:val="28"/>
        </w:rPr>
        <w:t>的实施情况、资金使用情况，发现项目实施的困难和问题，总结项目实施的经验和教训，为项目实施的进一步深化提供有益帮助。</w:t>
      </w:r>
    </w:p>
    <w:p>
      <w:pPr>
        <w:spacing w:line="520" w:lineRule="exact"/>
        <w:ind w:firstLine="560" w:firstLineChars="200"/>
        <w:outlineLvl w:val="1"/>
        <w:rPr>
          <w:rFonts w:ascii="仿宋" w:hAnsi="仿宋" w:eastAsia="仿宋"/>
          <w:sz w:val="28"/>
          <w:szCs w:val="28"/>
        </w:rPr>
      </w:pPr>
      <w:bookmarkStart w:id="14" w:name="_Toc30201"/>
      <w:bookmarkStart w:id="15" w:name="_Toc511502534"/>
      <w:bookmarkStart w:id="16" w:name="_Toc517708015"/>
      <w:r>
        <w:rPr>
          <w:rFonts w:hint="eastAsia" w:ascii="仿宋" w:hAnsi="仿宋" w:eastAsia="仿宋"/>
          <w:sz w:val="28"/>
          <w:szCs w:val="28"/>
        </w:rPr>
        <w:t>（二）绩效评价框架</w:t>
      </w:r>
      <w:bookmarkEnd w:id="14"/>
      <w:bookmarkEnd w:id="15"/>
      <w:bookmarkEnd w:id="16"/>
    </w:p>
    <w:p>
      <w:pPr>
        <w:spacing w:line="520" w:lineRule="exact"/>
        <w:ind w:firstLine="560" w:firstLineChars="200"/>
        <w:rPr>
          <w:rFonts w:ascii="仿宋" w:hAnsi="仿宋" w:eastAsia="仿宋"/>
          <w:sz w:val="28"/>
          <w:szCs w:val="28"/>
        </w:rPr>
      </w:pPr>
      <w:r>
        <w:rPr>
          <w:rFonts w:hint="eastAsia" w:ascii="仿宋" w:hAnsi="仿宋" w:eastAsia="仿宋"/>
          <w:sz w:val="28"/>
          <w:szCs w:val="28"/>
        </w:rPr>
        <w:t>绩效评价框架是开展绩效评价的核心，绩效评价框架包括各级指标名称、权重、指标解释、指标说明、目标值、绩效标准和评分细则等方面。</w:t>
      </w:r>
      <w:r>
        <w:rPr>
          <w:rFonts w:hint="eastAsia" w:ascii="仿宋" w:hAnsi="仿宋" w:eastAsia="仿宋"/>
          <w:bCs/>
          <w:sz w:val="28"/>
          <w:szCs w:val="28"/>
        </w:rPr>
        <w:t>项目</w:t>
      </w:r>
      <w:r>
        <w:rPr>
          <w:rFonts w:hint="eastAsia" w:ascii="仿宋" w:hAnsi="仿宋" w:eastAsia="仿宋"/>
          <w:sz w:val="28"/>
          <w:szCs w:val="28"/>
        </w:rPr>
        <w:t>绩效评价指标体系的设计参照《湖北省财政支出绩效评价指标体系框架》，投入和过程在此框架的基础上结合项目的特点适当进行完善，产出和效果根据项目特点进行了细化。</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1.评价指标</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第一步，采用层次分析法，建立评价指标库。绩效评价将指标分为投入、过程、产出和效果四个层次，最终形成一个由多个相互联系的指标组成的多层次指标体系。</w:t>
      </w:r>
      <w:r>
        <w:rPr>
          <w:rFonts w:hint="eastAsia" w:ascii="仿宋" w:hAnsi="仿宋" w:eastAsia="仿宋"/>
          <w:sz w:val="28"/>
          <w:szCs w:val="28"/>
        </w:rPr>
        <mc:AlternateContent>
          <mc:Choice Requires="wps">
            <w:drawing>
              <wp:anchor distT="0" distB="0" distL="114300" distR="114300" simplePos="0" relativeHeight="251659264" behindDoc="0" locked="0" layoutInCell="1" allowOverlap="1">
                <wp:simplePos x="0" y="0"/>
                <wp:positionH relativeFrom="column">
                  <wp:posOffset>-3400425</wp:posOffset>
                </wp:positionH>
                <wp:positionV relativeFrom="paragraph">
                  <wp:posOffset>152400</wp:posOffset>
                </wp:positionV>
                <wp:extent cx="76200" cy="3962400"/>
                <wp:effectExtent l="4445" t="4445" r="14605" b="14605"/>
                <wp:wrapNone/>
                <wp:docPr id="2" name="AutoShape 48"/>
                <wp:cNvGraphicFramePr/>
                <a:graphic xmlns:a="http://schemas.openxmlformats.org/drawingml/2006/main">
                  <a:graphicData uri="http://schemas.microsoft.com/office/word/2010/wordprocessingShape">
                    <wps:wsp>
                      <wps:cNvSpPr/>
                      <wps:spPr>
                        <a:xfrm>
                          <a:off x="0" y="0"/>
                          <a:ext cx="76200" cy="3962400"/>
                        </a:xfrm>
                        <a:prstGeom prst="leftBrace">
                          <a:avLst>
                            <a:gd name="adj1" fmla="val 433333"/>
                            <a:gd name="adj2" fmla="val 5162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AutoShape 48" o:spid="_x0000_s1026" o:spt="87" type="#_x0000_t87" style="position:absolute;left:0pt;margin-left:-267.75pt;margin-top:12pt;height:312pt;width:6pt;z-index:251659264;mso-width-relative:page;mso-height-relative:page;" filled="f" stroked="t" coordsize="21600,21600" o:gfxdata="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Vfbv02wAAAAwBAAAPAAAAAAAAAAEAIAAAACIAAABkcnMvZG93bnJldi54bWxQSwEC&#10;FAAUAAAACACHTuJAhwOp6/EBAAD3AwAADgAAAAAAAAABACAAAAAqAQAAZHJzL2Uyb0RvYy54bWxQ&#10;SwUGAAAAAAYABgBZAQAAjQUAAAAA&#10;" adj="1799,11150">
                <v:fill on="f" focussize="0,0"/>
                <v:stroke color="#000000" joinstyle="round"/>
                <v:imagedata o:title=""/>
                <o:lock v:ext="edit" aspectratio="f"/>
              </v:shape>
            </w:pict>
          </mc:Fallback>
        </mc:AlternateContent>
      </w:r>
      <w:r>
        <w:rPr>
          <w:rFonts w:hint="eastAsia" w:ascii="仿宋" w:hAnsi="仿宋" w:eastAsia="仿宋"/>
          <w:sz w:val="28"/>
          <w:szCs w:val="28"/>
        </w:rPr>
        <w:t>第二步，采用调查法，确定评价指标。评价指标体系建立后，对指标库中的指标进行分析、权衡、补充、选择，最后确定评价指标。在此基础上最终形成项目绩效评价指标体系，设置了4个一级指标、11个二级指标、19个三级指标。</w:t>
      </w:r>
    </w:p>
    <w:p>
      <w:pPr>
        <w:tabs>
          <w:tab w:val="center" w:pos="4549"/>
        </w:tabs>
        <w:spacing w:line="360" w:lineRule="auto"/>
        <w:ind w:firstLine="700" w:firstLineChars="250"/>
        <w:jc w:val="left"/>
        <w:rPr>
          <w:rFonts w:ascii="仿宋" w:hAnsi="仿宋" w:eastAsia="仿宋"/>
          <w:sz w:val="28"/>
          <w:szCs w:val="28"/>
        </w:rPr>
      </w:pPr>
      <w:r>
        <w:rPr>
          <w:rFonts w:hint="eastAsia" w:ascii="宋体" w:hAnsi="宋体"/>
          <w:sz w:val="28"/>
          <w:szCs w:val="28"/>
        </w:rPr>
        <w:t>2.</w:t>
      </w:r>
      <w:r>
        <w:rPr>
          <w:rFonts w:hint="eastAsia" w:ascii="仿宋" w:hAnsi="仿宋" w:eastAsia="仿宋"/>
          <w:sz w:val="28"/>
          <w:szCs w:val="28"/>
        </w:rPr>
        <w:t>权重</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根据本项目特点及各指标维度、类别考评内容，采用德尔菲法进行权重估计，并参考了评价领导小组及项目实施单位的意见，最终确定各个指标相对于项目总体绩效的权重分值。最终</w:t>
      </w:r>
      <w:r>
        <w:rPr>
          <w:rFonts w:hint="eastAsia" w:ascii="仿宋" w:hAnsi="仿宋" w:eastAsia="仿宋"/>
          <w:sz w:val="28"/>
          <w:szCs w:val="28"/>
          <w:lang w:eastAsia="zh-CN"/>
        </w:rPr>
        <w:t>确定</w:t>
      </w:r>
      <w:r>
        <w:rPr>
          <w:rFonts w:hint="eastAsia" w:ascii="仿宋" w:hAnsi="仿宋" w:eastAsia="仿宋"/>
          <w:sz w:val="28"/>
          <w:szCs w:val="28"/>
        </w:rPr>
        <w:t>项目投入权重</w:t>
      </w:r>
      <w:r>
        <w:rPr>
          <w:rFonts w:hint="eastAsia" w:ascii="仿宋" w:hAnsi="仿宋" w:eastAsia="仿宋"/>
          <w:sz w:val="28"/>
          <w:szCs w:val="28"/>
          <w:lang w:eastAsia="zh-CN"/>
        </w:rPr>
        <w:t>值占</w:t>
      </w:r>
      <w:r>
        <w:rPr>
          <w:rFonts w:hint="eastAsia" w:ascii="仿宋" w:hAnsi="仿宋" w:eastAsia="仿宋"/>
          <w:sz w:val="28"/>
          <w:szCs w:val="28"/>
        </w:rPr>
        <w:t>12%，项目过程权重值占28%，项目产出权重值占30%，项目效益权重值占30%。</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3.指标说明</w:t>
      </w:r>
    </w:p>
    <w:p>
      <w:pPr>
        <w:spacing w:line="520" w:lineRule="exact"/>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绩效评价指标体系指标说明确定了三级指标评分的要点，指出定性指标的评价核心</w:t>
      </w:r>
      <w:r>
        <w:rPr>
          <w:rFonts w:hint="eastAsia" w:ascii="仿宋" w:hAnsi="仿宋" w:eastAsia="仿宋"/>
          <w:sz w:val="28"/>
          <w:szCs w:val="28"/>
          <w:lang w:eastAsia="zh-CN"/>
        </w:rPr>
        <w:t>、</w:t>
      </w:r>
      <w:r>
        <w:rPr>
          <w:rFonts w:hint="eastAsia" w:ascii="仿宋" w:hAnsi="仿宋" w:eastAsia="仿宋"/>
          <w:sz w:val="28"/>
          <w:szCs w:val="28"/>
        </w:rPr>
        <w:t>定量指标实现值的计算公式、数据口径，说明了19个三级指标设置的目的，指导三级指标评价的方向。</w:t>
      </w:r>
    </w:p>
    <w:p>
      <w:pPr>
        <w:spacing w:line="520" w:lineRule="exact"/>
        <w:ind w:firstLine="560" w:firstLineChars="200"/>
        <w:rPr>
          <w:rFonts w:ascii="仿宋" w:hAnsi="仿宋" w:eastAsia="仿宋"/>
          <w:sz w:val="28"/>
          <w:szCs w:val="28"/>
        </w:rPr>
      </w:pPr>
      <w:bookmarkStart w:id="17" w:name="_1460181815"/>
      <w:bookmarkEnd w:id="17"/>
      <w:bookmarkStart w:id="18" w:name="_1460038687"/>
      <w:bookmarkEnd w:id="18"/>
      <w:bookmarkStart w:id="19" w:name="_1460038655"/>
      <w:bookmarkEnd w:id="19"/>
      <w:bookmarkStart w:id="20" w:name="_1460038659"/>
      <w:bookmarkEnd w:id="20"/>
      <w:bookmarkStart w:id="21" w:name="_1460038730"/>
      <w:bookmarkEnd w:id="21"/>
      <w:bookmarkStart w:id="22" w:name="_1460038714"/>
      <w:bookmarkEnd w:id="22"/>
      <w:r>
        <w:rPr>
          <w:rFonts w:hint="eastAsia" w:ascii="仿宋" w:hAnsi="仿宋" w:eastAsia="仿宋"/>
          <w:sz w:val="28"/>
          <w:szCs w:val="28"/>
        </w:rPr>
        <w:t>4.指标目标值</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指标目标值是绩效评价指标的尺度，既要反映同类项目的先进水平，又要符合项目的实际绩效水平。</w:t>
      </w:r>
      <w:r>
        <w:rPr>
          <w:rFonts w:hint="eastAsia" w:ascii="仿宋" w:hAnsi="仿宋" w:eastAsia="仿宋"/>
          <w:bCs/>
          <w:sz w:val="28"/>
          <w:szCs w:val="28"/>
        </w:rPr>
        <w:t>项目</w:t>
      </w:r>
      <w:r>
        <w:rPr>
          <w:rFonts w:hint="eastAsia" w:ascii="仿宋" w:hAnsi="仿宋" w:eastAsia="仿宋"/>
          <w:sz w:val="28"/>
          <w:szCs w:val="28"/>
        </w:rPr>
        <w:t>绩效评价指标目标值</w:t>
      </w:r>
      <w:r>
        <w:rPr>
          <w:rFonts w:hint="eastAsia" w:ascii="仿宋" w:hAnsi="仿宋" w:eastAsia="仿宋"/>
          <w:sz w:val="28"/>
          <w:szCs w:val="28"/>
          <w:lang w:eastAsia="zh-CN"/>
        </w:rPr>
        <w:t>根据</w:t>
      </w:r>
      <w:r>
        <w:rPr>
          <w:rFonts w:hint="eastAsia" w:ascii="仿宋" w:hAnsi="仿宋" w:eastAsia="仿宋"/>
          <w:sz w:val="28"/>
          <w:szCs w:val="28"/>
        </w:rPr>
        <w:t>项目计划目标确定。</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5.绩效标准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财政项目资金绩效评价，是以结果为导向的财政支出管理模式，绩效评价标准主要有计划标准、行业标准、历史标准、其他标准等，结合项目的特点，确定此次绩效评价指标标准为行业标准和计划标准。项目管理和财务管理</w:t>
      </w:r>
      <w:r>
        <w:rPr>
          <w:rFonts w:hint="eastAsia" w:ascii="仿宋" w:hAnsi="仿宋" w:eastAsia="仿宋"/>
          <w:sz w:val="28"/>
          <w:szCs w:val="28"/>
          <w:lang w:eastAsia="zh-CN"/>
        </w:rPr>
        <w:t>指标以</w:t>
      </w:r>
      <w:r>
        <w:rPr>
          <w:rFonts w:hint="eastAsia" w:ascii="仿宋" w:hAnsi="仿宋" w:eastAsia="仿宋"/>
          <w:sz w:val="28"/>
          <w:szCs w:val="28"/>
        </w:rPr>
        <w:t>国家财务相关法律法规</w:t>
      </w:r>
      <w:r>
        <w:rPr>
          <w:rFonts w:hint="eastAsia" w:ascii="仿宋" w:hAnsi="仿宋" w:eastAsia="仿宋"/>
          <w:sz w:val="28"/>
          <w:szCs w:val="28"/>
          <w:lang w:eastAsia="zh-CN"/>
        </w:rPr>
        <w:t>为绩效评价标准</w:t>
      </w:r>
      <w:r>
        <w:rPr>
          <w:rFonts w:hint="eastAsia" w:ascii="仿宋" w:hAnsi="仿宋" w:eastAsia="仿宋"/>
          <w:sz w:val="28"/>
          <w:szCs w:val="28"/>
        </w:rPr>
        <w:t>，产出和效果指标采用计划指标值作为绩效评价标准。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6.评分细则</w:t>
      </w:r>
    </w:p>
    <w:p>
      <w:pPr>
        <w:spacing w:line="520" w:lineRule="exact"/>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绩效评价指标体系中三级指标评分是在指标说明评分要点的基础上进行的，定性指标</w:t>
      </w:r>
      <w:r>
        <w:rPr>
          <w:rFonts w:hint="eastAsia" w:ascii="仿宋" w:hAnsi="仿宋" w:eastAsia="仿宋"/>
          <w:sz w:val="28"/>
          <w:szCs w:val="28"/>
          <w:lang w:eastAsia="zh-CN"/>
        </w:rPr>
        <w:t>按</w:t>
      </w:r>
      <w:r>
        <w:rPr>
          <w:rFonts w:hint="eastAsia" w:ascii="仿宋" w:hAnsi="仿宋" w:eastAsia="仿宋"/>
          <w:sz w:val="28"/>
          <w:szCs w:val="28"/>
        </w:rPr>
        <w:t>评分要点分段量化得分，定量指标按量化</w:t>
      </w:r>
      <w:r>
        <w:rPr>
          <w:rFonts w:hint="eastAsia" w:ascii="仿宋" w:hAnsi="仿宋" w:eastAsia="仿宋"/>
          <w:sz w:val="28"/>
          <w:szCs w:val="28"/>
          <w:lang w:eastAsia="zh-CN"/>
        </w:rPr>
        <w:t>值</w:t>
      </w:r>
      <w:r>
        <w:rPr>
          <w:rFonts w:hint="eastAsia" w:ascii="仿宋" w:hAnsi="仿宋" w:eastAsia="仿宋"/>
          <w:sz w:val="28"/>
          <w:szCs w:val="28"/>
        </w:rPr>
        <w:t>直接评分。通过</w:t>
      </w:r>
      <w:r>
        <w:rPr>
          <w:rFonts w:hint="eastAsia" w:ascii="仿宋" w:hAnsi="仿宋" w:eastAsia="仿宋"/>
          <w:sz w:val="28"/>
          <w:szCs w:val="28"/>
          <w:lang w:eastAsia="zh-CN"/>
        </w:rPr>
        <w:t>对</w:t>
      </w:r>
      <w:r>
        <w:rPr>
          <w:rFonts w:hint="eastAsia" w:ascii="仿宋" w:hAnsi="仿宋" w:eastAsia="仿宋"/>
          <w:sz w:val="28"/>
          <w:szCs w:val="28"/>
        </w:rPr>
        <w:t>项目实施单位项目档案、财务资料进行检查，结合问卷调查和实地考察情况，项目组</w:t>
      </w:r>
      <w:r>
        <w:rPr>
          <w:rFonts w:hint="eastAsia" w:ascii="仿宋" w:hAnsi="仿宋" w:eastAsia="仿宋"/>
          <w:sz w:val="28"/>
          <w:szCs w:val="28"/>
          <w:lang w:eastAsia="zh-CN"/>
        </w:rPr>
        <w:t>根据</w:t>
      </w:r>
      <w:r>
        <w:rPr>
          <w:rFonts w:hint="eastAsia" w:ascii="仿宋" w:hAnsi="仿宋" w:eastAsia="仿宋"/>
          <w:sz w:val="28"/>
          <w:szCs w:val="28"/>
        </w:rPr>
        <w:t>对项目的实施进展情况</w:t>
      </w:r>
      <w:r>
        <w:rPr>
          <w:rFonts w:hint="eastAsia" w:ascii="仿宋" w:hAnsi="仿宋" w:eastAsia="仿宋"/>
          <w:sz w:val="28"/>
          <w:szCs w:val="28"/>
          <w:lang w:eastAsia="zh-CN"/>
        </w:rPr>
        <w:t>的了解</w:t>
      </w:r>
      <w:r>
        <w:rPr>
          <w:rFonts w:hint="eastAsia" w:ascii="仿宋" w:hAnsi="仿宋" w:eastAsia="仿宋"/>
          <w:sz w:val="28"/>
          <w:szCs w:val="28"/>
        </w:rPr>
        <w:t>，对每个指标进行独立评价和打分</w:t>
      </w:r>
      <w:r>
        <w:rPr>
          <w:rFonts w:hint="eastAsia" w:ascii="仿宋" w:hAnsi="仿宋" w:eastAsia="仿宋"/>
          <w:sz w:val="28"/>
          <w:szCs w:val="28"/>
          <w:lang w:eastAsia="zh-CN"/>
        </w:rPr>
        <w:t>，</w:t>
      </w:r>
      <w:r>
        <w:rPr>
          <w:rFonts w:hint="eastAsia" w:ascii="仿宋" w:hAnsi="仿宋" w:eastAsia="仿宋"/>
          <w:sz w:val="28"/>
          <w:szCs w:val="28"/>
        </w:rPr>
        <w:t>在此基础上形成项目的整体得分。</w:t>
      </w:r>
    </w:p>
    <w:p>
      <w:pPr>
        <w:spacing w:line="520" w:lineRule="exact"/>
        <w:ind w:firstLine="560" w:firstLineChars="200"/>
        <w:rPr>
          <w:rFonts w:hint="eastAsia" w:ascii="仿宋" w:hAnsi="仿宋" w:eastAsia="仿宋"/>
          <w:sz w:val="28"/>
          <w:szCs w:val="28"/>
        </w:rPr>
      </w:pPr>
      <w:r>
        <w:rPr>
          <w:rFonts w:hint="eastAsia" w:ascii="仿宋" w:hAnsi="仿宋" w:eastAsia="仿宋"/>
          <w:sz w:val="28"/>
          <w:szCs w:val="28"/>
        </w:rPr>
        <w:t>根据《湖北省财政项目资金绩效评价操作指南》中财政项目绩效评价结果级别评定相关要求，绩效评价总分值100分，90分以上为优秀、80-90</w:t>
      </w:r>
    </w:p>
    <w:p>
      <w:pPr>
        <w:spacing w:line="520" w:lineRule="exact"/>
        <w:rPr>
          <w:rFonts w:hint="eastAsia" w:ascii="仿宋" w:hAnsi="仿宋" w:eastAsia="仿宋"/>
          <w:sz w:val="28"/>
          <w:szCs w:val="28"/>
          <w:lang w:eastAsia="zh-CN"/>
        </w:rPr>
        <w:sectPr>
          <w:footerReference r:id="rId4" w:type="default"/>
          <w:pgSz w:w="11906" w:h="16838"/>
          <w:pgMar w:top="1440" w:right="1416" w:bottom="1440" w:left="1560" w:header="851" w:footer="992" w:gutter="0"/>
          <w:pgNumType w:start="1"/>
          <w:cols w:space="720" w:num="1"/>
          <w:docGrid w:type="lines" w:linePitch="312" w:charSpace="0"/>
        </w:sectPr>
      </w:pPr>
    </w:p>
    <w:p>
      <w:pPr>
        <w:spacing w:line="520" w:lineRule="exact"/>
        <w:rPr>
          <w:rFonts w:hint="eastAsia" w:ascii="黑体" w:hAnsi="黑体" w:eastAsia="黑体" w:cs="黑体"/>
          <w:sz w:val="28"/>
          <w:szCs w:val="28"/>
        </w:rPr>
      </w:pPr>
      <w:bookmarkStart w:id="23" w:name="_Toc511502536"/>
      <w:bookmarkStart w:id="24" w:name="_Toc517708016"/>
      <w:r>
        <w:rPr>
          <w:rFonts w:hint="eastAsia" w:ascii="仿宋" w:hAnsi="仿宋" w:eastAsia="仿宋"/>
          <w:sz w:val="28"/>
          <w:szCs w:val="28"/>
        </w:rPr>
        <w:t>分为良好，60-80分为中等，60分以下为差</w:t>
      </w:r>
      <w:r>
        <w:rPr>
          <w:rFonts w:hint="eastAsia" w:ascii="仿宋" w:hAnsi="仿宋" w:eastAsia="仿宋"/>
          <w:sz w:val="28"/>
          <w:szCs w:val="28"/>
          <w:lang w:eastAsia="zh-CN"/>
        </w:rPr>
        <w:t>。</w:t>
      </w:r>
    </w:p>
    <w:p>
      <w:pPr>
        <w:spacing w:line="520" w:lineRule="exact"/>
        <w:ind w:firstLine="560" w:firstLineChars="200"/>
        <w:outlineLvl w:val="0"/>
        <w:rPr>
          <w:rFonts w:ascii="黑体" w:hAnsi="黑体" w:eastAsia="黑体" w:cs="黑体"/>
          <w:sz w:val="28"/>
          <w:szCs w:val="28"/>
        </w:rPr>
      </w:pPr>
      <w:r>
        <w:rPr>
          <w:rFonts w:hint="eastAsia" w:ascii="黑体" w:hAnsi="黑体" w:eastAsia="黑体" w:cs="黑体"/>
          <w:sz w:val="28"/>
          <w:szCs w:val="28"/>
        </w:rPr>
        <w:t>三、绩效分析及评价结论</w:t>
      </w:r>
      <w:bookmarkEnd w:id="23"/>
      <w:bookmarkEnd w:id="24"/>
    </w:p>
    <w:p>
      <w:pPr>
        <w:spacing w:line="520" w:lineRule="exact"/>
        <w:ind w:firstLine="560" w:firstLineChars="200"/>
        <w:outlineLvl w:val="1"/>
        <w:rPr>
          <w:rFonts w:ascii="仿宋" w:hAnsi="仿宋" w:eastAsia="仿宋"/>
          <w:sz w:val="28"/>
          <w:szCs w:val="28"/>
        </w:rPr>
      </w:pPr>
      <w:bookmarkStart w:id="25" w:name="_Toc8923"/>
      <w:bookmarkStart w:id="26" w:name="_Toc517708017"/>
      <w:bookmarkStart w:id="27" w:name="_Toc511502539"/>
      <w:r>
        <w:rPr>
          <w:rFonts w:hint="eastAsia" w:ascii="仿宋" w:hAnsi="仿宋" w:eastAsia="仿宋"/>
          <w:sz w:val="28"/>
          <w:szCs w:val="28"/>
        </w:rPr>
        <w:t>（一）</w:t>
      </w:r>
      <w:bookmarkEnd w:id="25"/>
      <w:r>
        <w:rPr>
          <w:rFonts w:hint="eastAsia" w:ascii="仿宋" w:hAnsi="仿宋" w:eastAsia="仿宋"/>
          <w:sz w:val="28"/>
          <w:szCs w:val="28"/>
        </w:rPr>
        <w:t>绩效分析及绩效指标完成情况</w:t>
      </w:r>
      <w:bookmarkEnd w:id="26"/>
      <w:bookmarkEnd w:id="27"/>
    </w:p>
    <w:p>
      <w:pPr>
        <w:spacing w:line="520" w:lineRule="exact"/>
        <w:outlineLvl w:val="2"/>
        <w:rPr>
          <w:rFonts w:ascii="仿宋" w:hAnsi="仿宋" w:eastAsia="仿宋"/>
          <w:bCs/>
          <w:sz w:val="28"/>
          <w:szCs w:val="28"/>
        </w:rPr>
      </w:pPr>
      <w:r>
        <w:rPr>
          <w:rFonts w:hint="eastAsia" w:ascii="仿宋" w:hAnsi="仿宋" w:eastAsia="仿宋"/>
          <w:bCs/>
          <w:sz w:val="28"/>
          <w:szCs w:val="28"/>
        </w:rPr>
        <w:t xml:space="preserve">    </w:t>
      </w:r>
      <w:bookmarkStart w:id="28" w:name="_Toc517708018"/>
      <w:r>
        <w:rPr>
          <w:rFonts w:hint="eastAsia" w:ascii="仿宋" w:hAnsi="仿宋" w:eastAsia="仿宋"/>
          <w:bCs/>
          <w:sz w:val="28"/>
          <w:szCs w:val="28"/>
        </w:rPr>
        <w:t>1.项目投入</w:t>
      </w:r>
      <w:bookmarkEnd w:id="28"/>
    </w:p>
    <w:p>
      <w:pPr>
        <w:spacing w:line="520" w:lineRule="exact"/>
        <w:ind w:firstLine="560" w:firstLineChars="200"/>
        <w:rPr>
          <w:rFonts w:ascii="仿宋" w:hAnsi="仿宋" w:eastAsia="仿宋"/>
          <w:sz w:val="28"/>
          <w:szCs w:val="28"/>
        </w:rPr>
      </w:pPr>
      <w:r>
        <w:rPr>
          <w:rFonts w:hint="eastAsia" w:ascii="仿宋" w:hAnsi="仿宋" w:eastAsia="仿宋"/>
          <w:sz w:val="28"/>
          <w:szCs w:val="28"/>
        </w:rPr>
        <w:t>本项指标总分为12分，实际得分10.19分，得分率84.92%，项目投入具体评价如下：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（1）依据充分性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2017年市管泵站及明渠箱涵设施维护改造项目</w:t>
      </w:r>
      <w:r>
        <w:rPr>
          <w:rFonts w:hint="eastAsia" w:ascii="仿宋" w:hAnsi="仿宋" w:eastAsia="仿宋"/>
          <w:bCs/>
          <w:sz w:val="28"/>
          <w:szCs w:val="28"/>
          <w:lang w:eastAsia="zh-CN"/>
        </w:rPr>
        <w:t>、</w:t>
      </w:r>
      <w:r>
        <w:rPr>
          <w:rFonts w:hint="eastAsia" w:ascii="仿宋" w:hAnsi="仿宋" w:eastAsia="仿宋"/>
          <w:bCs/>
          <w:sz w:val="28"/>
          <w:szCs w:val="28"/>
        </w:rPr>
        <w:t>泵站运行电费项目</w:t>
      </w:r>
      <w:r>
        <w:rPr>
          <w:rFonts w:hint="eastAsia" w:ascii="仿宋" w:hAnsi="仿宋" w:eastAsia="仿宋"/>
          <w:bCs/>
          <w:sz w:val="28"/>
          <w:szCs w:val="28"/>
          <w:lang w:eastAsia="zh-CN"/>
        </w:rPr>
        <w:t>和</w:t>
      </w:r>
      <w:r>
        <w:rPr>
          <w:rFonts w:hint="eastAsia" w:ascii="仿宋" w:hAnsi="仿宋" w:eastAsia="仿宋"/>
          <w:bCs/>
          <w:sz w:val="28"/>
          <w:szCs w:val="28"/>
        </w:rPr>
        <w:t>江南、后湖四期、四新泵站及双回路工程维护费项目立项依据充分，立项申请</w:t>
      </w:r>
      <w:r>
        <w:rPr>
          <w:rFonts w:hint="eastAsia" w:ascii="仿宋" w:hAnsi="仿宋" w:eastAsia="仿宋"/>
          <w:bCs/>
          <w:sz w:val="28"/>
          <w:szCs w:val="28"/>
          <w:lang w:eastAsia="zh-CN"/>
        </w:rPr>
        <w:t>理由</w:t>
      </w:r>
      <w:r>
        <w:rPr>
          <w:rFonts w:hint="eastAsia" w:ascii="仿宋" w:hAnsi="仿宋" w:eastAsia="仿宋"/>
          <w:bCs/>
          <w:sz w:val="28"/>
          <w:szCs w:val="28"/>
        </w:rPr>
        <w:t>符合规定，项目申报的主要内容完整，但测算依据及说明不具体，未细化测算项目支出的具体使用方向。</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（2）目标合理性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项目的实施最大限度确保城市不出现严重渍水，力争做到“小雨、中雨无渍水</w:t>
      </w:r>
      <w:r>
        <w:rPr>
          <w:rFonts w:hint="eastAsia" w:ascii="仿宋" w:hAnsi="仿宋" w:eastAsia="仿宋"/>
          <w:bCs/>
          <w:sz w:val="28"/>
          <w:szCs w:val="28"/>
          <w:lang w:eastAsia="zh-CN"/>
        </w:rPr>
        <w:t>，</w:t>
      </w:r>
      <w:r>
        <w:rPr>
          <w:rFonts w:hint="eastAsia" w:ascii="仿宋" w:hAnsi="仿宋" w:eastAsia="仿宋"/>
          <w:bCs/>
          <w:sz w:val="28"/>
          <w:szCs w:val="28"/>
        </w:rPr>
        <w:t>大雨保交通</w:t>
      </w:r>
      <w:r>
        <w:rPr>
          <w:rFonts w:hint="eastAsia" w:ascii="仿宋" w:hAnsi="仿宋" w:eastAsia="仿宋"/>
          <w:bCs/>
          <w:sz w:val="28"/>
          <w:szCs w:val="28"/>
          <w:lang w:eastAsia="zh-CN"/>
        </w:rPr>
        <w:t>，</w:t>
      </w:r>
      <w:r>
        <w:rPr>
          <w:rFonts w:hint="eastAsia" w:ascii="仿宋" w:hAnsi="仿宋" w:eastAsia="仿宋"/>
          <w:bCs/>
          <w:sz w:val="28"/>
          <w:szCs w:val="28"/>
        </w:rPr>
        <w:t>持续大暴雨抗渍灾</w:t>
      </w:r>
      <w:r>
        <w:rPr>
          <w:rFonts w:hint="eastAsia" w:ascii="仿宋" w:hAnsi="仿宋" w:eastAsia="仿宋"/>
          <w:bCs/>
          <w:sz w:val="28"/>
          <w:szCs w:val="28"/>
          <w:lang w:eastAsia="zh-CN"/>
        </w:rPr>
        <w:t>，</w:t>
      </w:r>
      <w:r>
        <w:rPr>
          <w:rFonts w:hint="eastAsia" w:ascii="仿宋" w:hAnsi="仿宋" w:eastAsia="仿宋"/>
          <w:bCs/>
          <w:sz w:val="28"/>
          <w:szCs w:val="28"/>
        </w:rPr>
        <w:t>不可抵御特大暴雨保安全”。绩效目标符合国家相关法律法规、武汉市经济发展规划，体现了武汉市水务局履行发展水务事业的职责，项目预期产出效益和效果符合正常的业绩水平。</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（3）指标明确性</w:t>
      </w:r>
    </w:p>
    <w:p>
      <w:pPr>
        <w:spacing w:line="520" w:lineRule="exact"/>
        <w:rPr>
          <w:rFonts w:ascii="仿宋" w:hAnsi="仿宋" w:eastAsia="仿宋"/>
          <w:bCs/>
          <w:sz w:val="28"/>
          <w:szCs w:val="28"/>
        </w:rPr>
      </w:pPr>
      <w:r>
        <w:rPr>
          <w:rFonts w:hint="eastAsia" w:ascii="仿宋" w:hAnsi="仿宋" w:eastAsia="仿宋"/>
          <w:bCs/>
          <w:sz w:val="28"/>
          <w:szCs w:val="28"/>
        </w:rPr>
        <w:t xml:space="preserve">    项目设立了年度绩效指标，指标设置较为科学。</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（4）资金执行率</w:t>
      </w:r>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2017年项目支出预算</w:t>
      </w:r>
      <w:r>
        <w:rPr>
          <w:rFonts w:ascii="仿宋" w:hAnsi="仿宋" w:eastAsia="仿宋"/>
          <w:bCs/>
          <w:sz w:val="28"/>
          <w:szCs w:val="28"/>
        </w:rPr>
        <w:t>6229.97</w:t>
      </w:r>
      <w:r>
        <w:rPr>
          <w:rFonts w:hint="eastAsia" w:ascii="仿宋" w:hAnsi="仿宋" w:eastAsia="仿宋"/>
          <w:bCs/>
          <w:sz w:val="28"/>
          <w:szCs w:val="28"/>
        </w:rPr>
        <w:t>万元，同口径预算实际支出</w:t>
      </w:r>
      <w:r>
        <w:rPr>
          <w:rFonts w:ascii="仿宋" w:hAnsi="仿宋" w:eastAsia="仿宋"/>
          <w:bCs/>
          <w:sz w:val="28"/>
          <w:szCs w:val="28"/>
        </w:rPr>
        <w:t>4602.78</w:t>
      </w:r>
      <w:r>
        <w:rPr>
          <w:rFonts w:hint="eastAsia" w:ascii="仿宋" w:hAnsi="仿宋" w:eastAsia="仿宋"/>
          <w:bCs/>
          <w:sz w:val="28"/>
          <w:szCs w:val="28"/>
        </w:rPr>
        <w:t>万元，项目预算执行率为</w:t>
      </w:r>
      <w:r>
        <w:rPr>
          <w:rFonts w:ascii="仿宋" w:hAnsi="仿宋" w:eastAsia="仿宋"/>
          <w:bCs/>
          <w:sz w:val="28"/>
          <w:szCs w:val="28"/>
        </w:rPr>
        <w:t>73.88%</w:t>
      </w:r>
      <w:r>
        <w:rPr>
          <w:rFonts w:hint="eastAsia" w:ascii="仿宋" w:hAnsi="仿宋" w:eastAsia="仿宋"/>
          <w:bCs/>
          <w:sz w:val="28"/>
          <w:szCs w:val="28"/>
        </w:rPr>
        <w:t>，具体情况如下表：</w:t>
      </w:r>
    </w:p>
    <w:tbl>
      <w:tblPr>
        <w:tblStyle w:val="9"/>
        <w:tblpPr w:leftFromText="180" w:rightFromText="180" w:vertAnchor="text" w:horzAnchor="margin" w:tblpXSpec="center" w:tblpY="358"/>
        <w:tblW w:w="8613" w:type="dxa"/>
        <w:tblInd w:w="0" w:type="dxa"/>
        <w:tblLayout w:type="fixed"/>
        <w:tblCellMar>
          <w:top w:w="0" w:type="dxa"/>
          <w:left w:w="108" w:type="dxa"/>
          <w:bottom w:w="0" w:type="dxa"/>
          <w:right w:w="108" w:type="dxa"/>
        </w:tblCellMar>
      </w:tblPr>
      <w:tblGrid>
        <w:gridCol w:w="1080"/>
        <w:gridCol w:w="3046"/>
        <w:gridCol w:w="1843"/>
        <w:gridCol w:w="1426"/>
        <w:gridCol w:w="1218"/>
      </w:tblGrid>
      <w:tr>
        <w:tblPrEx>
          <w:tblLayout w:type="fixed"/>
          <w:tblCellMar>
            <w:top w:w="0" w:type="dxa"/>
            <w:left w:w="108" w:type="dxa"/>
            <w:bottom w:w="0" w:type="dxa"/>
            <w:right w:w="108" w:type="dxa"/>
          </w:tblCellMar>
        </w:tblPrEx>
        <w:trPr>
          <w:trHeight w:val="465" w:hRule="atLeast"/>
          <w:tblHead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序号</w:t>
            </w:r>
          </w:p>
        </w:tc>
        <w:tc>
          <w:tcPr>
            <w:tcW w:w="30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项目名称</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预算数</w:t>
            </w:r>
          </w:p>
        </w:tc>
        <w:tc>
          <w:tcPr>
            <w:tcW w:w="14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执行数</w:t>
            </w:r>
          </w:p>
        </w:tc>
        <w:tc>
          <w:tcPr>
            <w:tcW w:w="12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执行率</w:t>
            </w:r>
          </w:p>
        </w:tc>
      </w:tr>
      <w:tr>
        <w:tblPrEx>
          <w:tblLayout w:type="fixed"/>
          <w:tblCellMar>
            <w:top w:w="0" w:type="dxa"/>
            <w:left w:w="108" w:type="dxa"/>
            <w:bottom w:w="0" w:type="dxa"/>
            <w:right w:w="108" w:type="dxa"/>
          </w:tblCellMar>
        </w:tblPrEx>
        <w:trPr>
          <w:trHeight w:val="465"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304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灾后水利设施建设</w:t>
            </w: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336.09</w:t>
            </w:r>
          </w:p>
        </w:tc>
        <w:tc>
          <w:tcPr>
            <w:tcW w:w="14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330.17</w:t>
            </w:r>
          </w:p>
        </w:tc>
        <w:tc>
          <w:tcPr>
            <w:tcW w:w="12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98.24%</w:t>
            </w:r>
          </w:p>
        </w:tc>
      </w:tr>
      <w:tr>
        <w:tblPrEx>
          <w:tblLayout w:type="fixed"/>
          <w:tblCellMar>
            <w:top w:w="0" w:type="dxa"/>
            <w:left w:w="108" w:type="dxa"/>
            <w:bottom w:w="0" w:type="dxa"/>
            <w:right w:w="108" w:type="dxa"/>
          </w:tblCellMar>
        </w:tblPrEx>
        <w:trPr>
          <w:trHeight w:val="465"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304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江南后湖四期四新泵站及双回路工程维护费</w:t>
            </w: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2533</w:t>
            </w:r>
          </w:p>
        </w:tc>
        <w:tc>
          <w:tcPr>
            <w:tcW w:w="14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2,320.78</w:t>
            </w:r>
          </w:p>
        </w:tc>
        <w:tc>
          <w:tcPr>
            <w:tcW w:w="12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91.62%</w:t>
            </w:r>
          </w:p>
        </w:tc>
      </w:tr>
      <w:tr>
        <w:tblPrEx>
          <w:tblLayout w:type="fixed"/>
          <w:tblCellMar>
            <w:top w:w="0" w:type="dxa"/>
            <w:left w:w="108" w:type="dxa"/>
            <w:bottom w:w="0" w:type="dxa"/>
            <w:right w:w="108" w:type="dxa"/>
          </w:tblCellMar>
        </w:tblPrEx>
        <w:trPr>
          <w:trHeight w:val="465"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304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泵站运行电费</w:t>
            </w: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1820</w:t>
            </w:r>
          </w:p>
        </w:tc>
        <w:tc>
          <w:tcPr>
            <w:tcW w:w="14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1,220.01</w:t>
            </w:r>
          </w:p>
        </w:tc>
        <w:tc>
          <w:tcPr>
            <w:tcW w:w="12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67.03%</w:t>
            </w:r>
          </w:p>
        </w:tc>
      </w:tr>
      <w:tr>
        <w:tblPrEx>
          <w:tblLayout w:type="fixed"/>
          <w:tblCellMar>
            <w:top w:w="0" w:type="dxa"/>
            <w:left w:w="108" w:type="dxa"/>
            <w:bottom w:w="0" w:type="dxa"/>
            <w:right w:w="108" w:type="dxa"/>
          </w:tblCellMar>
        </w:tblPrEx>
        <w:trPr>
          <w:trHeight w:val="465"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304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市管明渠箱涵设施维护改造</w:t>
            </w: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1408.23</w:t>
            </w:r>
          </w:p>
        </w:tc>
        <w:tc>
          <w:tcPr>
            <w:tcW w:w="14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606.74</w:t>
            </w:r>
          </w:p>
        </w:tc>
        <w:tc>
          <w:tcPr>
            <w:tcW w:w="12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43.09%</w:t>
            </w:r>
          </w:p>
        </w:tc>
      </w:tr>
      <w:tr>
        <w:tblPrEx>
          <w:tblLayout w:type="fixed"/>
          <w:tblCellMar>
            <w:top w:w="0" w:type="dxa"/>
            <w:left w:w="108" w:type="dxa"/>
            <w:bottom w:w="0" w:type="dxa"/>
            <w:right w:w="108" w:type="dxa"/>
          </w:tblCellMar>
        </w:tblPrEx>
        <w:trPr>
          <w:trHeight w:val="465"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304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排水设施维修改造（2016年）</w:t>
            </w: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114.65</w:t>
            </w:r>
          </w:p>
        </w:tc>
        <w:tc>
          <w:tcPr>
            <w:tcW w:w="14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107.08</w:t>
            </w:r>
          </w:p>
        </w:tc>
        <w:tc>
          <w:tcPr>
            <w:tcW w:w="12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93.40%</w:t>
            </w:r>
          </w:p>
        </w:tc>
      </w:tr>
      <w:tr>
        <w:tblPrEx>
          <w:tblLayout w:type="fixed"/>
          <w:tblCellMar>
            <w:top w:w="0" w:type="dxa"/>
            <w:left w:w="108" w:type="dxa"/>
            <w:bottom w:w="0" w:type="dxa"/>
            <w:right w:w="108" w:type="dxa"/>
          </w:tblCellMar>
        </w:tblPrEx>
        <w:trPr>
          <w:trHeight w:val="465"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6</w:t>
            </w:r>
          </w:p>
        </w:tc>
        <w:tc>
          <w:tcPr>
            <w:tcW w:w="304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水务应急项目（2016年）</w:t>
            </w: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18</w:t>
            </w:r>
          </w:p>
        </w:tc>
        <w:tc>
          <w:tcPr>
            <w:tcW w:w="14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18.00</w:t>
            </w:r>
          </w:p>
        </w:tc>
        <w:tc>
          <w:tcPr>
            <w:tcW w:w="12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100.00%</w:t>
            </w:r>
          </w:p>
        </w:tc>
      </w:tr>
      <w:tr>
        <w:tblPrEx>
          <w:tblLayout w:type="fixed"/>
          <w:tblCellMar>
            <w:top w:w="0" w:type="dxa"/>
            <w:left w:w="108" w:type="dxa"/>
            <w:bottom w:w="0" w:type="dxa"/>
            <w:right w:w="108" w:type="dxa"/>
          </w:tblCellMar>
        </w:tblPrEx>
        <w:trPr>
          <w:trHeight w:val="540" w:hRule="atLeast"/>
        </w:trPr>
        <w:tc>
          <w:tcPr>
            <w:tcW w:w="4126"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合计</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6229.97</w:t>
            </w:r>
          </w:p>
        </w:tc>
        <w:tc>
          <w:tcPr>
            <w:tcW w:w="14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4602.78</w:t>
            </w:r>
          </w:p>
        </w:tc>
        <w:tc>
          <w:tcPr>
            <w:tcW w:w="12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73.88%</w:t>
            </w:r>
          </w:p>
        </w:tc>
      </w:tr>
    </w:tbl>
    <w:p>
      <w:pPr>
        <w:spacing w:line="520" w:lineRule="exact"/>
        <w:ind w:firstLine="560" w:firstLineChars="200"/>
        <w:outlineLvl w:val="2"/>
        <w:rPr>
          <w:rFonts w:ascii="仿宋" w:hAnsi="仿宋" w:eastAsia="仿宋"/>
          <w:bCs/>
          <w:sz w:val="28"/>
          <w:szCs w:val="28"/>
        </w:rPr>
      </w:pPr>
      <w:bookmarkStart w:id="29" w:name="_Toc517708019"/>
      <w:r>
        <w:rPr>
          <w:rFonts w:hint="eastAsia" w:ascii="仿宋" w:hAnsi="仿宋" w:eastAsia="仿宋"/>
          <w:bCs/>
          <w:sz w:val="28"/>
          <w:szCs w:val="28"/>
        </w:rPr>
        <w:t>2.项目过程</w:t>
      </w:r>
      <w:bookmarkEnd w:id="29"/>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资金使用按照计划执行，符合国家财经法规和财务管理制度以及有关专项资管理办法的规定。项目资金拨付与使用有完整的审批流程和手续，独立核算，账簿齐全，账务处理较为规范，并制定了相应的财务监控机制。项目管理所需人员、设备设施等条件落实到位，项目建设的施工单位和相关单位的确定办理了政府采购等相关手续。项目基本建设程序管理、项目工程质量管理、项目档案管理制度健全且得到执行, 项目单位基本建设管理程序落实到位。本项指标总分为28分，实际得25分，得分率89.29%,项目过程具体评价如下：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（1）财务管理制度健全性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为了规范和加强项目的财务管理，严格执行项目资金计划，控制项目基本建设投资规模，降低工程造价，提高投资的使用效益，根据</w:t>
      </w:r>
      <w:r>
        <w:rPr>
          <w:rFonts w:hint="eastAsia" w:ascii="仿宋" w:hAnsi="仿宋" w:eastAsia="仿宋"/>
          <w:sz w:val="28"/>
          <w:szCs w:val="28"/>
        </w:rPr>
        <w:t>《中华人民共和国会计法》、《事业单位会计准则》和《事业单位会计制度》等法律、法规，武汉市排水泵站管理处</w:t>
      </w:r>
      <w:r>
        <w:rPr>
          <w:rFonts w:hint="eastAsia" w:ascii="仿宋" w:hAnsi="仿宋" w:eastAsia="仿宋"/>
          <w:bCs/>
          <w:sz w:val="28"/>
          <w:szCs w:val="28"/>
        </w:rPr>
        <w:t>制定和印发了《武汉市排水泵站管理处财务管理办法》、《武汉市排水泵站管理处三公经费管理制度》、《武汉市排水泵站管理处会议管理制度》等系列管理制度，财务管理制度健全，建立严格的财务报销制度和印鉴管理机制。</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（2）资金使用合规性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通过检查项目资金明细账、原始凭证及相关附件，项目实际支出与项目计划投入资金的用途相符，符合《中华人民共和国会计法》、《中华人民共和国预算法》和《</w:t>
      </w:r>
      <w:r>
        <w:rPr>
          <w:rFonts w:hint="eastAsia" w:ascii="仿宋" w:hAnsi="仿宋" w:eastAsia="仿宋"/>
          <w:sz w:val="28"/>
          <w:szCs w:val="28"/>
        </w:rPr>
        <w:t>事业</w:t>
      </w:r>
      <w:r>
        <w:rPr>
          <w:rFonts w:hint="eastAsia" w:ascii="仿宋" w:hAnsi="仿宋" w:eastAsia="仿宋"/>
          <w:bCs/>
          <w:sz w:val="28"/>
          <w:szCs w:val="28"/>
        </w:rPr>
        <w:t>单位会计制度》的规定；资金的拨付有基本的审批程序和手续；符合项目预算批复或合同规定的用途；不存在超标列支相关费用；做到了专款专用，不存在截留、挤占、挪用、虚列支出。但存在发票不规范的问题。</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（3）资金单独核算</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通过检查项目资金明细账，项目资金的会计核算严格执行了财政部颁发的《基本建设财务管理若干规定》，单独核算，按要求设置会计科目，建立</w:t>
      </w:r>
      <w:r>
        <w:rPr>
          <w:rFonts w:hint="eastAsia" w:ascii="仿宋" w:hAnsi="仿宋" w:eastAsia="仿宋"/>
          <w:bCs/>
          <w:sz w:val="28"/>
          <w:szCs w:val="28"/>
          <w:lang w:eastAsia="zh-CN"/>
        </w:rPr>
        <w:t>了</w:t>
      </w:r>
      <w:r>
        <w:rPr>
          <w:rFonts w:hint="eastAsia" w:ascii="仿宋" w:hAnsi="仿宋" w:eastAsia="仿宋"/>
          <w:bCs/>
          <w:sz w:val="28"/>
          <w:szCs w:val="28"/>
        </w:rPr>
        <w:t>账目。</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（4）财务信息质量</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通过对财务资料的检查，</w:t>
      </w:r>
      <w:r>
        <w:rPr>
          <w:rFonts w:hint="eastAsia" w:ascii="仿宋" w:hAnsi="仿宋" w:eastAsia="仿宋"/>
          <w:bCs/>
          <w:sz w:val="28"/>
          <w:szCs w:val="28"/>
          <w:lang w:eastAsia="zh-CN"/>
        </w:rPr>
        <w:t>项目</w:t>
      </w:r>
      <w:r>
        <w:rPr>
          <w:rFonts w:hint="eastAsia" w:ascii="仿宋" w:hAnsi="仿宋" w:eastAsia="仿宋"/>
          <w:bCs/>
          <w:sz w:val="28"/>
          <w:szCs w:val="28"/>
        </w:rPr>
        <w:t>预算执行和财务管理比较规范，会计资料真实，会计处理和决算报告编制符合预算法、相关会计准则和会计制度的规定。资金通过财政直接直付、授权支付或其它方式进行结算。资金拨付使用严格按照程序执行，用款申请单经用款部门和经办人提出申请，并注明用款理由和相关支出附件，经业务负责人、财务负责人、分管领导签字后通过财政直接支付或授权支付，以保证财政资金使用的安全。单位系统内部有比较完整的财务管理规定和制度，主管人员熟悉相关预算资金管理的法规；账簿及原始凭证齐全，账实相符，手续齐备，会计账务保存完整，能够比较全面反映部门资金使用的财务信息和实际状况。切实做到</w:t>
      </w:r>
      <w:r>
        <w:rPr>
          <w:rFonts w:hint="eastAsia" w:ascii="仿宋" w:hAnsi="仿宋" w:eastAsia="仿宋"/>
          <w:bCs/>
          <w:sz w:val="28"/>
          <w:szCs w:val="28"/>
          <w:lang w:eastAsia="zh-CN"/>
        </w:rPr>
        <w:t>了</w:t>
      </w:r>
      <w:r>
        <w:rPr>
          <w:rFonts w:hint="eastAsia" w:ascii="仿宋" w:hAnsi="仿宋" w:eastAsia="仿宋"/>
          <w:bCs/>
          <w:sz w:val="28"/>
          <w:szCs w:val="28"/>
        </w:rPr>
        <w:t>账簿完整、帐实相符、帐表相符、会计核算清楚规范。</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（5）项目组织实施</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制定了《武汉市排水泵站管理处设施维修养护管理办法（暂行）》，加强设施维修养护的管理，对</w:t>
      </w:r>
      <w:r>
        <w:rPr>
          <w:rFonts w:hint="eastAsia" w:ascii="仿宋" w:hAnsi="仿宋" w:eastAsia="仿宋"/>
          <w:bCs/>
          <w:sz w:val="28"/>
          <w:szCs w:val="28"/>
          <w:lang w:eastAsia="zh-CN"/>
        </w:rPr>
        <w:t>投资金额在</w:t>
      </w:r>
      <w:r>
        <w:rPr>
          <w:rFonts w:hint="eastAsia" w:ascii="仿宋" w:hAnsi="仿宋" w:eastAsia="仿宋"/>
          <w:bCs/>
          <w:sz w:val="28"/>
          <w:szCs w:val="28"/>
        </w:rPr>
        <w:t>10万元（含）至20万元（含）之间</w:t>
      </w:r>
      <w:r>
        <w:rPr>
          <w:rFonts w:hint="eastAsia" w:ascii="仿宋" w:hAnsi="仿宋" w:eastAsia="仿宋"/>
          <w:bCs/>
          <w:sz w:val="28"/>
          <w:szCs w:val="28"/>
          <w:lang w:eastAsia="zh-CN"/>
        </w:rPr>
        <w:t>的</w:t>
      </w:r>
      <w:r>
        <w:rPr>
          <w:rFonts w:hint="eastAsia" w:ascii="仿宋" w:hAnsi="仿宋" w:eastAsia="仿宋"/>
          <w:bCs/>
          <w:sz w:val="28"/>
          <w:szCs w:val="28"/>
        </w:rPr>
        <w:t>专项维护项目或单价金额大于2万元的设备采购实行市场比价；对</w:t>
      </w:r>
      <w:r>
        <w:rPr>
          <w:rFonts w:hint="eastAsia" w:ascii="仿宋" w:hAnsi="仿宋" w:eastAsia="仿宋"/>
          <w:bCs/>
          <w:sz w:val="28"/>
          <w:szCs w:val="28"/>
          <w:lang w:eastAsia="zh-CN"/>
        </w:rPr>
        <w:t>投资金额</w:t>
      </w:r>
      <w:r>
        <w:rPr>
          <w:rFonts w:hint="eastAsia" w:ascii="仿宋" w:hAnsi="仿宋" w:eastAsia="仿宋"/>
          <w:bCs/>
          <w:sz w:val="28"/>
          <w:szCs w:val="28"/>
        </w:rPr>
        <w:t>大于20万元的专项维护项目，在具备时间条件的情况下，实行公开招投标采购，不具备时间条件的，提交处长办公会集体研究决策。项目由生产技术科负责实施，项目所需人员、设备设施等条件落实到位。项目建设单位按照要求，科学合理配置了项目管理人员，从技术力量上保证了项目的顺利开展。</w:t>
      </w:r>
      <w:r>
        <w:rPr>
          <w:rFonts w:hint="eastAsia" w:ascii="仿宋" w:hAnsi="仿宋" w:eastAsia="仿宋"/>
          <w:bCs/>
          <w:sz w:val="28"/>
          <w:szCs w:val="28"/>
          <w:lang w:val="en-US" w:eastAsia="zh-CN"/>
        </w:rPr>
        <w:t xml:space="preserve"> </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（6）基本建设程序管理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项目均</w:t>
      </w:r>
      <w:r>
        <w:rPr>
          <w:rFonts w:hint="eastAsia" w:ascii="仿宋" w:hAnsi="仿宋" w:eastAsia="仿宋"/>
          <w:bCs/>
          <w:sz w:val="28"/>
          <w:szCs w:val="28"/>
          <w:lang w:eastAsia="zh-CN"/>
        </w:rPr>
        <w:t>通过</w:t>
      </w:r>
      <w:r>
        <w:rPr>
          <w:rFonts w:hint="eastAsia" w:ascii="仿宋" w:hAnsi="仿宋" w:eastAsia="仿宋"/>
          <w:bCs/>
          <w:sz w:val="28"/>
          <w:szCs w:val="28"/>
        </w:rPr>
        <w:t>公开招投标、邀标或询价等</w:t>
      </w:r>
      <w:r>
        <w:rPr>
          <w:rFonts w:hint="eastAsia" w:ascii="仿宋" w:hAnsi="仿宋" w:eastAsia="仿宋"/>
          <w:bCs/>
          <w:sz w:val="28"/>
          <w:szCs w:val="28"/>
          <w:lang w:eastAsia="zh-CN"/>
        </w:rPr>
        <w:t>政府采购</w:t>
      </w:r>
      <w:r>
        <w:rPr>
          <w:rFonts w:hint="eastAsia" w:ascii="仿宋" w:hAnsi="仿宋" w:eastAsia="仿宋"/>
          <w:bCs/>
          <w:sz w:val="28"/>
          <w:szCs w:val="28"/>
        </w:rPr>
        <w:t>程序确定供应商，与中标施工单位、监理单位签订施工合同、监理合同，施工单位按合同约定及时开工，并严格执行了安全生产制度，监理单位基本履行了相应的监理职责，工程完工后及时办理了工程结算手续和竣工验收手续。项目实施基本符合基本建设程序和国家法律法规的规定，建设资金的拨付基本符合有关管理制度的规定，基本实现项目预期目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（7）项目工程质量管理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项目建设工程质量管理贯穿项目建设的全过程，项目计划、报批、立项、论证、招标、评审、施工、审计</w:t>
      </w:r>
      <w:r>
        <w:rPr>
          <w:rFonts w:hint="eastAsia" w:ascii="仿宋" w:hAnsi="仿宋" w:eastAsia="仿宋"/>
          <w:bCs/>
          <w:sz w:val="28"/>
          <w:szCs w:val="28"/>
          <w:lang w:eastAsia="zh-CN"/>
        </w:rPr>
        <w:t>和</w:t>
      </w:r>
      <w:r>
        <w:rPr>
          <w:rFonts w:hint="eastAsia" w:ascii="仿宋" w:hAnsi="仿宋" w:eastAsia="仿宋"/>
          <w:bCs/>
          <w:sz w:val="28"/>
          <w:szCs w:val="28"/>
        </w:rPr>
        <w:t>验收各环节环环相扣，管理科学有序，施工环节按图作业，符合工程</w:t>
      </w:r>
      <w:r>
        <w:rPr>
          <w:rFonts w:hint="eastAsia" w:ascii="仿宋" w:hAnsi="仿宋" w:eastAsia="仿宋"/>
          <w:bCs/>
          <w:sz w:val="28"/>
          <w:szCs w:val="28"/>
          <w:lang w:eastAsia="zh-CN"/>
        </w:rPr>
        <w:t>建设管理</w:t>
      </w:r>
      <w:r>
        <w:rPr>
          <w:rFonts w:hint="eastAsia" w:ascii="仿宋" w:hAnsi="仿宋" w:eastAsia="仿宋"/>
          <w:bCs/>
          <w:sz w:val="28"/>
          <w:szCs w:val="28"/>
        </w:rPr>
        <w:t>规范。</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（8）项目档案管理</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rPr>
        <w:t>单位有完善的工程项目档案管理制度，严格执行</w:t>
      </w:r>
      <w:r>
        <w:rPr>
          <w:rFonts w:hint="eastAsia" w:ascii="仿宋" w:hAnsi="仿宋" w:eastAsia="仿宋"/>
          <w:bCs/>
          <w:sz w:val="28"/>
          <w:szCs w:val="28"/>
          <w:lang w:eastAsia="zh-CN"/>
        </w:rPr>
        <w:t>了</w:t>
      </w:r>
      <w:r>
        <w:rPr>
          <w:rFonts w:hint="eastAsia" w:ascii="仿宋" w:hAnsi="仿宋" w:eastAsia="仿宋"/>
          <w:bCs/>
          <w:sz w:val="28"/>
          <w:szCs w:val="28"/>
        </w:rPr>
        <w:t>档案管理要求，注重对原始资料在实施过程的收集和整理，分门别类组卷，档案资料做到真实、齐全、有效。对项目建设单位、项目监理单位、工程施工单位和跟踪审计单位移交的项目档案进行抽查，工程资料的管理</w:t>
      </w:r>
      <w:r>
        <w:rPr>
          <w:rFonts w:hint="eastAsia" w:ascii="仿宋" w:hAnsi="仿宋" w:eastAsia="仿宋"/>
          <w:bCs/>
          <w:sz w:val="28"/>
          <w:szCs w:val="28"/>
          <w:lang w:eastAsia="zh-CN"/>
        </w:rPr>
        <w:t>符合</w:t>
      </w:r>
      <w:r>
        <w:rPr>
          <w:rFonts w:hint="eastAsia" w:ascii="仿宋" w:hAnsi="仿宋" w:eastAsia="仿宋"/>
          <w:bCs/>
          <w:sz w:val="28"/>
          <w:szCs w:val="28"/>
        </w:rPr>
        <w:t>《建设工程文件归档整理规范》等规定，按照要求进行</w:t>
      </w:r>
      <w:r>
        <w:rPr>
          <w:rFonts w:hint="eastAsia" w:ascii="仿宋" w:hAnsi="仿宋" w:eastAsia="仿宋"/>
          <w:bCs/>
          <w:sz w:val="28"/>
          <w:szCs w:val="28"/>
          <w:lang w:eastAsia="zh-CN"/>
        </w:rPr>
        <w:t>了</w:t>
      </w:r>
      <w:r>
        <w:rPr>
          <w:rFonts w:hint="eastAsia" w:ascii="仿宋" w:hAnsi="仿宋" w:eastAsia="仿宋"/>
          <w:bCs/>
          <w:sz w:val="28"/>
          <w:szCs w:val="28"/>
        </w:rPr>
        <w:t>工程文件的移交，工程资料的形成与工程进度同步。如经济合同建立了合同会签本及台账，与合同文本一起按统一编号归档。</w:t>
      </w:r>
      <w:r>
        <w:rPr>
          <w:rFonts w:hint="eastAsia" w:ascii="仿宋" w:hAnsi="仿宋" w:eastAsia="仿宋"/>
          <w:bCs/>
          <w:sz w:val="28"/>
          <w:szCs w:val="28"/>
          <w:lang w:val="en-US" w:eastAsia="zh-CN"/>
        </w:rPr>
        <w:t xml:space="preserve"> </w:t>
      </w:r>
    </w:p>
    <w:p>
      <w:pPr>
        <w:spacing w:line="520" w:lineRule="exact"/>
        <w:ind w:firstLine="560" w:firstLineChars="200"/>
        <w:outlineLvl w:val="2"/>
        <w:rPr>
          <w:rFonts w:ascii="仿宋" w:hAnsi="仿宋" w:eastAsia="仿宋"/>
          <w:bCs/>
          <w:sz w:val="28"/>
          <w:szCs w:val="28"/>
        </w:rPr>
      </w:pPr>
      <w:bookmarkStart w:id="30" w:name="_Toc517708020"/>
      <w:r>
        <w:rPr>
          <w:rFonts w:hint="eastAsia" w:ascii="仿宋" w:hAnsi="仿宋" w:eastAsia="仿宋"/>
          <w:bCs/>
          <w:sz w:val="28"/>
          <w:szCs w:val="28"/>
        </w:rPr>
        <w:t>3.项目产出</w:t>
      </w:r>
      <w:bookmarkEnd w:id="30"/>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项目产出良好，项目在</w:t>
      </w:r>
      <w:r>
        <w:rPr>
          <w:rFonts w:hint="eastAsia" w:ascii="仿宋" w:hAnsi="仿宋" w:eastAsia="仿宋"/>
          <w:bCs/>
          <w:sz w:val="28"/>
          <w:szCs w:val="28"/>
          <w:lang w:eastAsia="zh-CN"/>
        </w:rPr>
        <w:t>计划</w:t>
      </w:r>
      <w:r>
        <w:rPr>
          <w:rFonts w:hint="eastAsia" w:ascii="仿宋" w:hAnsi="仿宋" w:eastAsia="仿宋"/>
          <w:bCs/>
          <w:sz w:val="28"/>
          <w:szCs w:val="28"/>
        </w:rPr>
        <w:t>时间内及时实施完成，质量达标率达到预期。本项指标总分为30分，实际得分达到30分，得分率100%,项目产出具体评价如下：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（1）维修改造工程完成率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在设施设备的检修维护及运管工作中，合理进行排渍调度，科学制定检修改造计划，努力推动生产管理标准化进程，为基层泵站提供技术支持与服务保障。另外，还组织汛期排渍应急抢险；协助江南、四新、后湖四期3座新建泵站开展应急抽排；配合开展“四水共治”，针对市管明渠黑臭水体进行专项治理等工作。完成了机组大修、小单项目及新增改造项目，为确保排渍设施正常运转提供了充分保障，2017年武汉市排水泵站管理处维修改造工程完成率为100%，完成了年度计划安排的维修改造工作。</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专项工作完成具体情况如下：一是全力推动纳入计划中的“2017年度武汉市排水设施维修改造项目”。包括3个2016年续建项目和15个2017年新增项目，涵盖了泵站主水泵电机、辅助设备、前池清渣清淤、泵房车间主体维修等各个生产运行不可或缺的关键环节，18个项目按照计划完成全部工作任务，泵站排渍运行能力进一步得到提升。二是精心组织，顺利完成3座新建泵站应急抽排准备工作。市泵站处具体承担了后湖四期、江南、四新等3座在建泵站39台机组的应急抽排调度任务。整个汛期，江南泵站实现主汛期全天24小时开机，四新泵站持续每天运行超过10小时，实现了武汉市未竣工在建泵站应急运行整个汛期安全无事故的先例，为全市排涝水做出了应有的贡献。三是抢抓时间，按时完成7座泵站信息化上传系统建设。按照市水务局《关于10座新改扩建泵站信息化应急系统建设任务分解的通知》内容要求和市局统一部署，江南、四新、汤逊湖、大军山、北湖、民生、东湖等7座泵站的应急信息化上传系统建设由泵站管理处负责。为确保按照市局要求在主汛期到来前实施完毕，泵站管理处组织精干力量，倒排工期，采用一日一报的督促方式，抢抓周末及晴好间歇天气，在市局防汛处、农水处的大力支持下，协调各个泵站主管单位及电信部门，一个月时间按时完成全部工作任务，新建远程信息系统柜7台套，监控摄像头16处，主汛期前7个泵站应急信息全部实现监控上传。</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（2）完成及时率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市管泵站及明渠箱涵设施维护改造、江南、后湖四期、四新泵站及双回路工程维护工作都按维修改造计划及时完成，在2017年整个排渍期实现</w:t>
      </w:r>
      <w:r>
        <w:rPr>
          <w:rFonts w:hint="eastAsia" w:ascii="仿宋" w:hAnsi="仿宋" w:eastAsia="仿宋"/>
          <w:bCs/>
          <w:sz w:val="28"/>
          <w:szCs w:val="28"/>
          <w:lang w:eastAsia="zh-CN"/>
        </w:rPr>
        <w:t>了</w:t>
      </w:r>
      <w:r>
        <w:rPr>
          <w:rFonts w:hint="eastAsia" w:ascii="仿宋" w:hAnsi="仿宋" w:eastAsia="仿宋"/>
          <w:bCs/>
          <w:sz w:val="28"/>
          <w:szCs w:val="28"/>
        </w:rPr>
        <w:t>泵站开机率100%的绩效管理目标。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（3）质量达标率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分部工程验收记录符合设计要求和规范的规定，各验收记录中保证项目的质量情况符合设计要求和规范的规定，经监理单位、勘测设计单位和主管单位验收，工程达到设计标准。通过对变电站、电排站的相关设备进行静态验收检查，主汛期间所属排水泵站完好率实现90%的计划目标。</w:t>
      </w:r>
    </w:p>
    <w:p>
      <w:pPr>
        <w:spacing w:line="520" w:lineRule="exact"/>
        <w:ind w:firstLine="560" w:firstLineChars="200"/>
        <w:outlineLvl w:val="2"/>
        <w:rPr>
          <w:rFonts w:ascii="仿宋" w:hAnsi="仿宋" w:eastAsia="仿宋"/>
          <w:bCs/>
          <w:sz w:val="28"/>
          <w:szCs w:val="28"/>
        </w:rPr>
      </w:pPr>
      <w:bookmarkStart w:id="31" w:name="_Toc517708021"/>
      <w:r>
        <w:rPr>
          <w:rFonts w:hint="eastAsia" w:ascii="仿宋" w:hAnsi="仿宋" w:eastAsia="仿宋"/>
          <w:bCs/>
          <w:sz w:val="28"/>
          <w:szCs w:val="28"/>
        </w:rPr>
        <w:t>4.项目效果</w:t>
      </w:r>
      <w:bookmarkEnd w:id="31"/>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项目的实施完善了城市排渍功能，改善了居民生活环境，有利于形成与城市经济发展相匹配的市政设施基础。本项指标总分为30分，实际得分达28分，得分率93.33%,项目效果具体评价如下：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（1）排渍能力</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通过项目的实施，提高了武汉市泵站的排渍能力和信息化程度，增强了城区排渍、排污能力。2017年，累计开机运行20231.37台时，抽排雨渍水50861.9万方。其中,后湖泵站三期运行4038.77台时，抽排水11632.01万方；常青泵站一期运行8.2台时，抽排水19.7784万方，二期运行1487.1台时，抽排水4818.204万方；舵落口泵站运行1.79台时，抽排水0.36216万方；罗家路泵站开机4557.5台时，抽排水12897.725万方；新生路泵站开机783.9台时，抽排水2822.04万方；前进路泵站开机619.12台时，抽排水681万方；鹦鹉洲泵站开机59.52台时，抽排水64.28万方；鹦鹉湖泵站开机60.27台时，抽排水43.39万方；二桥泵站开机14.8台时，抽排水0.89万方；天津路泵站开机3649.9台时，抽排水1139.7万方；杨泗港泵站开机122.9台时，抽排水205.494万方；江南泵站开机3629.63小时，抽排水12723.1万方；四新泵站开机1134.17小时，抽排水3603.388万方；后湖四期泵站开机63.8小时，抽排水210.54万方。</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（2）生活环境改善程度</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项目实施后增强了城区排渍</w:t>
      </w:r>
      <w:r>
        <w:rPr>
          <w:rFonts w:hint="eastAsia" w:ascii="仿宋" w:hAnsi="仿宋" w:eastAsia="仿宋"/>
          <w:bCs/>
          <w:sz w:val="28"/>
          <w:szCs w:val="28"/>
          <w:highlight w:val="none"/>
        </w:rPr>
        <w:t>能力</w:t>
      </w:r>
      <w:r>
        <w:rPr>
          <w:rFonts w:hint="eastAsia" w:ascii="仿宋" w:hAnsi="仿宋" w:eastAsia="仿宋"/>
          <w:bCs/>
          <w:sz w:val="28"/>
          <w:szCs w:val="28"/>
        </w:rPr>
        <w:t>，解决了雨季城区积水深、退水久的现状，美化了周边居民的生活环境。在工程改造的同时，进行了泵站环境建设，站区道路、绿化、环境得到极大改善，促进</w:t>
      </w:r>
      <w:r>
        <w:rPr>
          <w:rFonts w:hint="eastAsia" w:ascii="仿宋" w:hAnsi="仿宋" w:eastAsia="仿宋"/>
          <w:bCs/>
          <w:sz w:val="28"/>
          <w:szCs w:val="28"/>
          <w:lang w:eastAsia="zh-CN"/>
        </w:rPr>
        <w:t>和</w:t>
      </w:r>
      <w:r>
        <w:rPr>
          <w:rFonts w:hint="eastAsia" w:ascii="仿宋" w:hAnsi="仿宋" w:eastAsia="仿宋"/>
          <w:bCs/>
          <w:sz w:val="28"/>
          <w:szCs w:val="28"/>
        </w:rPr>
        <w:t>带动了经济的发展。</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（3）可持续影响</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泵站在排水系统中是雨水传送的安全纽带，是不可或缺的组成部分，主要用于排除城市雨水，控制好泵站及周边水位，防止道路积水，确保群众生活和出行安全。武汉市</w:t>
      </w:r>
      <w:r>
        <w:rPr>
          <w:rFonts w:hint="eastAsia" w:ascii="仿宋" w:hAnsi="仿宋" w:eastAsia="仿宋"/>
          <w:bCs/>
          <w:sz w:val="28"/>
          <w:szCs w:val="28"/>
          <w:lang w:eastAsia="zh-CN"/>
        </w:rPr>
        <w:t>排水泵站</w:t>
      </w:r>
      <w:r>
        <w:rPr>
          <w:rFonts w:hint="eastAsia" w:ascii="仿宋" w:hAnsi="仿宋" w:eastAsia="仿宋"/>
          <w:bCs/>
          <w:sz w:val="28"/>
          <w:szCs w:val="28"/>
        </w:rPr>
        <w:t>管理处</w:t>
      </w:r>
      <w:r>
        <w:rPr>
          <w:rFonts w:hint="eastAsia" w:ascii="仿宋" w:hAnsi="仿宋" w:eastAsia="仿宋"/>
          <w:bCs/>
          <w:sz w:val="28"/>
          <w:szCs w:val="28"/>
          <w:lang w:eastAsia="zh-CN"/>
        </w:rPr>
        <w:t>运行维护的泵站</w:t>
      </w:r>
      <w:r>
        <w:rPr>
          <w:rFonts w:hint="eastAsia" w:ascii="仿宋" w:hAnsi="仿宋" w:eastAsia="仿宋"/>
          <w:bCs/>
          <w:sz w:val="28"/>
          <w:szCs w:val="28"/>
        </w:rPr>
        <w:t>对城区</w:t>
      </w:r>
      <w:r>
        <w:rPr>
          <w:rFonts w:hint="eastAsia" w:ascii="仿宋" w:hAnsi="仿宋" w:eastAsia="仿宋"/>
          <w:bCs/>
          <w:sz w:val="28"/>
          <w:szCs w:val="28"/>
          <w:lang w:eastAsia="zh-CN"/>
        </w:rPr>
        <w:t>的社会和经济发展意义重大</w:t>
      </w:r>
      <w:r>
        <w:rPr>
          <w:rFonts w:hint="eastAsia" w:ascii="仿宋" w:hAnsi="仿宋" w:eastAsia="仿宋"/>
          <w:bCs/>
          <w:sz w:val="28"/>
          <w:szCs w:val="28"/>
        </w:rPr>
        <w:t>，一旦泵站不能运行，当发生渍涝灾害时将会对人民的生命财产安全</w:t>
      </w:r>
      <w:r>
        <w:rPr>
          <w:rFonts w:hint="eastAsia" w:ascii="仿宋" w:hAnsi="仿宋" w:eastAsia="仿宋"/>
          <w:bCs/>
          <w:sz w:val="28"/>
          <w:szCs w:val="28"/>
          <w:lang w:eastAsia="zh-CN"/>
        </w:rPr>
        <w:t>、企业经营和交通运行</w:t>
      </w:r>
      <w:r>
        <w:rPr>
          <w:rFonts w:hint="eastAsia" w:ascii="仿宋" w:hAnsi="仿宋" w:eastAsia="仿宋"/>
          <w:bCs/>
          <w:sz w:val="28"/>
          <w:szCs w:val="28"/>
        </w:rPr>
        <w:t>造成重大的损失</w:t>
      </w:r>
      <w:r>
        <w:rPr>
          <w:rFonts w:hint="eastAsia" w:ascii="仿宋" w:hAnsi="仿宋" w:eastAsia="仿宋"/>
          <w:bCs/>
          <w:sz w:val="28"/>
          <w:szCs w:val="28"/>
          <w:lang w:eastAsia="zh-CN"/>
        </w:rPr>
        <w:t>和阻碍</w:t>
      </w:r>
      <w:r>
        <w:rPr>
          <w:rFonts w:hint="eastAsia" w:ascii="仿宋" w:hAnsi="仿宋" w:eastAsia="仿宋"/>
          <w:bCs/>
          <w:sz w:val="28"/>
          <w:szCs w:val="28"/>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通过维修改造，基本解决了机电设备老化和建筑物破损失修的问题，维修改造完成后提升了建设物、设备的完好率和安全运行率，极大的提高了泵站的安全运行可靠性。项目的实施恢复或提高了排渍标准，为防洪安全、供水安全提供了强有力的保障。</w:t>
      </w:r>
      <w:r>
        <w:rPr>
          <w:rFonts w:hint="eastAsia" w:ascii="仿宋" w:hAnsi="仿宋" w:eastAsia="仿宋"/>
          <w:bCs/>
          <w:sz w:val="28"/>
          <w:szCs w:val="28"/>
          <w:lang w:eastAsia="zh-CN"/>
        </w:rPr>
        <w:t>通过</w:t>
      </w:r>
      <w:r>
        <w:rPr>
          <w:rFonts w:hint="eastAsia" w:ascii="仿宋" w:hAnsi="仿宋" w:eastAsia="仿宋"/>
          <w:bCs/>
          <w:sz w:val="28"/>
          <w:szCs w:val="28"/>
        </w:rPr>
        <w:t>项目的实施，部分泵站实现了电脑监控、保护等信息化手段，大大提升了运行安全，减少了运行维护工作量和及费用，提高了工程管理效益和管理水平。但泵站的抽排能力</w:t>
      </w:r>
      <w:r>
        <w:rPr>
          <w:rFonts w:hint="eastAsia" w:ascii="仿宋" w:hAnsi="仿宋" w:eastAsia="仿宋"/>
          <w:bCs/>
          <w:sz w:val="28"/>
          <w:szCs w:val="28"/>
          <w:lang w:eastAsia="zh-CN"/>
        </w:rPr>
        <w:t>和</w:t>
      </w:r>
      <w:r>
        <w:rPr>
          <w:rFonts w:hint="eastAsia" w:ascii="仿宋" w:hAnsi="仿宋" w:eastAsia="仿宋"/>
          <w:bCs/>
          <w:sz w:val="28"/>
          <w:szCs w:val="28"/>
        </w:rPr>
        <w:t>信息化水平与城市发展还存在一定的差距，需进一步提高维修改造的力度和信息化水平。</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（4）投诉件办理满意率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2017年投诉</w:t>
      </w:r>
      <w:r>
        <w:rPr>
          <w:rFonts w:hint="eastAsia" w:ascii="仿宋" w:hAnsi="仿宋" w:eastAsia="仿宋"/>
          <w:bCs/>
          <w:sz w:val="28"/>
          <w:szCs w:val="28"/>
          <w:lang w:val="en-US" w:eastAsia="zh-CN"/>
        </w:rPr>
        <w:t>5</w:t>
      </w:r>
      <w:r>
        <w:rPr>
          <w:rFonts w:hint="eastAsia" w:ascii="仿宋" w:hAnsi="仿宋" w:eastAsia="仿宋"/>
          <w:bCs/>
          <w:sz w:val="28"/>
          <w:szCs w:val="28"/>
        </w:rPr>
        <w:t>件，投诉件办理满意率为</w:t>
      </w:r>
      <w:r>
        <w:rPr>
          <w:rFonts w:hint="eastAsia" w:ascii="仿宋" w:hAnsi="仿宋" w:eastAsia="仿宋"/>
          <w:bCs/>
          <w:sz w:val="28"/>
          <w:szCs w:val="28"/>
          <w:lang w:val="en-US" w:eastAsia="zh-CN"/>
        </w:rPr>
        <w:t>100</w:t>
      </w:r>
      <w:r>
        <w:rPr>
          <w:rFonts w:hint="eastAsia" w:ascii="仿宋" w:hAnsi="仿宋" w:eastAsia="仿宋"/>
          <w:bCs/>
          <w:sz w:val="28"/>
          <w:szCs w:val="28"/>
        </w:rPr>
        <w:t>%，达到100%的绩效考核标准。</w:t>
      </w:r>
    </w:p>
    <w:p>
      <w:pPr>
        <w:spacing w:before="156" w:beforeLines="50" w:after="156" w:afterLines="50" w:line="520" w:lineRule="exact"/>
        <w:ind w:firstLine="560" w:firstLineChars="200"/>
        <w:outlineLvl w:val="1"/>
        <w:rPr>
          <w:rFonts w:ascii="仿宋" w:hAnsi="仿宋" w:eastAsia="仿宋"/>
          <w:sz w:val="28"/>
          <w:szCs w:val="28"/>
        </w:rPr>
      </w:pPr>
      <w:bookmarkStart w:id="32" w:name="_Toc517708022"/>
      <w:r>
        <w:rPr>
          <w:rFonts w:hint="eastAsia" w:ascii="仿宋" w:hAnsi="仿宋" w:eastAsia="仿宋"/>
          <w:sz w:val="28"/>
          <w:szCs w:val="28"/>
        </w:rPr>
        <w:t>（</w:t>
      </w:r>
      <w:r>
        <w:rPr>
          <w:rFonts w:hint="eastAsia" w:ascii="仿宋" w:hAnsi="仿宋" w:eastAsia="仿宋"/>
          <w:sz w:val="28"/>
          <w:szCs w:val="28"/>
          <w:lang w:eastAsia="zh-CN"/>
        </w:rPr>
        <w:t>二</w:t>
      </w:r>
      <w:r>
        <w:rPr>
          <w:rFonts w:hint="eastAsia" w:ascii="仿宋" w:hAnsi="仿宋" w:eastAsia="仿宋"/>
          <w:sz w:val="28"/>
          <w:szCs w:val="28"/>
        </w:rPr>
        <w:t>）评价结论</w:t>
      </w:r>
      <w:bookmarkEnd w:id="32"/>
    </w:p>
    <w:p>
      <w:pPr>
        <w:spacing w:before="156" w:beforeLines="50" w:after="156" w:afterLines="50" w:line="520" w:lineRule="exact"/>
        <w:ind w:firstLine="560" w:firstLineChars="200"/>
        <w:outlineLvl w:val="2"/>
        <w:rPr>
          <w:rFonts w:ascii="仿宋" w:hAnsi="仿宋" w:eastAsia="仿宋"/>
          <w:sz w:val="28"/>
          <w:szCs w:val="28"/>
        </w:rPr>
      </w:pPr>
      <w:bookmarkStart w:id="33" w:name="_Toc517708023"/>
      <w:r>
        <w:rPr>
          <w:rFonts w:hint="eastAsia" w:ascii="仿宋" w:hAnsi="仿宋" w:eastAsia="仿宋"/>
          <w:sz w:val="28"/>
          <w:szCs w:val="28"/>
        </w:rPr>
        <w:t>1.综合评分结果</w:t>
      </w:r>
      <w:bookmarkEnd w:id="33"/>
    </w:p>
    <w:tbl>
      <w:tblPr>
        <w:tblStyle w:val="9"/>
        <w:tblW w:w="822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92"/>
        <w:gridCol w:w="1276"/>
        <w:gridCol w:w="1417"/>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exact"/>
          <w:tblHeader/>
        </w:trPr>
        <w:tc>
          <w:tcPr>
            <w:tcW w:w="1418"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评价指标</w:t>
            </w:r>
          </w:p>
        </w:tc>
        <w:tc>
          <w:tcPr>
            <w:tcW w:w="992"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权重</w:t>
            </w:r>
          </w:p>
        </w:tc>
        <w:tc>
          <w:tcPr>
            <w:tcW w:w="1276"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评级分值</w:t>
            </w:r>
          </w:p>
        </w:tc>
        <w:tc>
          <w:tcPr>
            <w:tcW w:w="1417"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项目得分</w:t>
            </w:r>
          </w:p>
        </w:tc>
        <w:tc>
          <w:tcPr>
            <w:tcW w:w="1701"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得分率</w:t>
            </w:r>
          </w:p>
        </w:tc>
        <w:tc>
          <w:tcPr>
            <w:tcW w:w="1418" w:type="dxa"/>
            <w:vAlign w:val="center"/>
          </w:tcPr>
          <w:p>
            <w:pPr>
              <w:jc w:val="center"/>
              <w:rPr>
                <w:rFonts w:ascii="仿宋" w:hAnsi="仿宋" w:eastAsia="仿宋" w:cs="仿宋"/>
                <w:b/>
                <w:kern w:val="0"/>
                <w:szCs w:val="21"/>
              </w:rPr>
            </w:pPr>
            <w:r>
              <w:rPr>
                <w:rFonts w:hint="eastAsia" w:ascii="仿宋" w:hAnsi="仿宋" w:eastAsia="仿宋" w:cs="仿宋"/>
                <w:b/>
                <w:kern w:val="0"/>
                <w:szCs w:val="21"/>
              </w:rPr>
              <w:t>评价级别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项目投入</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10.19</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84.92%</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项目过程</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25</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89.29%</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项目产出</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项目效果</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93.33%</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综合绩效</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93.19</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93.19%</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bl>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从投入来看，项目立项依据充分，立项申请符合规定，可研报告内容完整，编制科学、实事求是，绩效目标明确、合理，项目资金按计划投入到位，资金拨付及时</w:t>
      </w:r>
      <w:r>
        <w:rPr>
          <w:rFonts w:hint="eastAsia" w:ascii="仿宋" w:hAnsi="仿宋" w:eastAsia="仿宋"/>
          <w:sz w:val="28"/>
          <w:szCs w:val="28"/>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过程来看，项目资金使用按照计划执行，符合国家财经法规和财务管理制度以及有关专项资管理办法的规定。项目资金拨付与使用有基本的审批流程和手续。项目管理所需人员、设备设施等条件落实到位，项目基本建设程序管理、项目工程质量管理健全且得到执行。但</w:t>
      </w:r>
      <w:r>
        <w:rPr>
          <w:rFonts w:hint="eastAsia" w:ascii="仿宋" w:hAnsi="仿宋" w:eastAsia="仿宋"/>
          <w:sz w:val="28"/>
          <w:szCs w:val="28"/>
        </w:rPr>
        <w:t>项目档案的规范性有待提高</w:t>
      </w:r>
      <w:r>
        <w:rPr>
          <w:rFonts w:hint="eastAsia" w:ascii="仿宋" w:hAnsi="仿宋" w:eastAsia="仿宋"/>
          <w:bCs/>
          <w:sz w:val="28"/>
          <w:szCs w:val="28"/>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从产出来看，项目产出良好，项目在预定时间内及时实施完成，质量达标率达到预期。</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从效果来看，项目的实施提升了城市排渍</w:t>
      </w:r>
      <w:r>
        <w:rPr>
          <w:rFonts w:hint="eastAsia" w:ascii="仿宋" w:hAnsi="仿宋" w:eastAsia="仿宋"/>
          <w:bCs/>
          <w:sz w:val="28"/>
          <w:szCs w:val="28"/>
          <w:lang w:eastAsia="zh-CN"/>
        </w:rPr>
        <w:t>能力</w:t>
      </w:r>
      <w:r>
        <w:rPr>
          <w:rFonts w:hint="eastAsia" w:ascii="仿宋" w:hAnsi="仿宋" w:eastAsia="仿宋"/>
          <w:bCs/>
          <w:sz w:val="28"/>
          <w:szCs w:val="28"/>
        </w:rPr>
        <w:t>，改善了居民生活环境，有利于形成与城市经济发展相匹配的市政设施基础。</w:t>
      </w:r>
    </w:p>
    <w:p>
      <w:pPr>
        <w:spacing w:line="520" w:lineRule="exact"/>
        <w:ind w:firstLine="560" w:firstLineChars="200"/>
        <w:outlineLvl w:val="2"/>
        <w:rPr>
          <w:rFonts w:ascii="仿宋" w:hAnsi="仿宋" w:eastAsia="仿宋"/>
          <w:bCs/>
          <w:sz w:val="28"/>
          <w:szCs w:val="28"/>
        </w:rPr>
      </w:pPr>
      <w:bookmarkStart w:id="34" w:name="_Toc517708024"/>
      <w:r>
        <w:rPr>
          <w:rFonts w:hint="eastAsia" w:ascii="仿宋" w:hAnsi="仿宋" w:eastAsia="仿宋"/>
          <w:bCs/>
          <w:sz w:val="28"/>
          <w:szCs w:val="28"/>
        </w:rPr>
        <w:t>2.主要结论</w:t>
      </w:r>
      <w:bookmarkEnd w:id="34"/>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本次项目绩效评价结果为“优”。项目符合城市发展政策，项目立项依据充分；财务和工程管理工作有效；工程建设完成情况、完成及时情况和质量达计划目标；项目社会效益、环境效益明显。项目实施后增强了城区排渍能力，改善了居民的生活环境，有利于城区的可持续发展。</w:t>
      </w:r>
    </w:p>
    <w:p>
      <w:pPr>
        <w:spacing w:line="520" w:lineRule="exact"/>
        <w:ind w:firstLine="560" w:firstLineChars="200"/>
        <w:outlineLvl w:val="0"/>
        <w:rPr>
          <w:rFonts w:ascii="黑体" w:hAnsi="黑体" w:eastAsia="黑体" w:cs="黑体"/>
          <w:sz w:val="28"/>
          <w:szCs w:val="28"/>
        </w:rPr>
      </w:pPr>
      <w:bookmarkStart w:id="35" w:name="_Toc517708025"/>
      <w:bookmarkStart w:id="36" w:name="_Toc511502547"/>
      <w:bookmarkStart w:id="37" w:name="_Toc7491"/>
      <w:r>
        <w:rPr>
          <w:rFonts w:hint="eastAsia" w:ascii="黑体" w:hAnsi="黑体" w:eastAsia="黑体" w:cs="黑体"/>
          <w:sz w:val="28"/>
          <w:szCs w:val="28"/>
        </w:rPr>
        <w:t>四、主要经验及做法、存在的问题</w:t>
      </w:r>
      <w:bookmarkEnd w:id="35"/>
      <w:bookmarkEnd w:id="36"/>
      <w:bookmarkEnd w:id="37"/>
    </w:p>
    <w:p>
      <w:pPr>
        <w:spacing w:line="520" w:lineRule="exact"/>
        <w:ind w:firstLine="560" w:firstLineChars="200"/>
        <w:outlineLvl w:val="1"/>
        <w:rPr>
          <w:rFonts w:ascii="仿宋" w:hAnsi="仿宋" w:eastAsia="仿宋"/>
          <w:bCs/>
          <w:sz w:val="28"/>
          <w:szCs w:val="28"/>
          <w:highlight w:val="yellow"/>
        </w:rPr>
      </w:pPr>
      <w:bookmarkStart w:id="38" w:name="_Toc590"/>
      <w:bookmarkStart w:id="39" w:name="_Toc517708026"/>
      <w:bookmarkStart w:id="40" w:name="_Toc511502548"/>
      <w:r>
        <w:rPr>
          <w:rFonts w:hint="eastAsia" w:ascii="仿宋" w:hAnsi="仿宋" w:eastAsia="仿宋"/>
          <w:bCs/>
          <w:sz w:val="28"/>
          <w:szCs w:val="28"/>
        </w:rPr>
        <w:t>（一）主要经验及做法</w:t>
      </w:r>
      <w:bookmarkEnd w:id="38"/>
      <w:bookmarkEnd w:id="39"/>
      <w:bookmarkEnd w:id="40"/>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eastAsia="zh-CN"/>
        </w:rPr>
        <w:t>.</w:t>
      </w:r>
      <w:r>
        <w:rPr>
          <w:rFonts w:hint="eastAsia" w:ascii="仿宋" w:hAnsi="仿宋" w:eastAsia="仿宋"/>
          <w:bCs/>
          <w:sz w:val="28"/>
          <w:szCs w:val="28"/>
        </w:rPr>
        <w:t>科学调度、认真履行排渍工作职责。</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一是严格排渍工作纪律，有条不紊地进行抽排调度。按照《市泵站处2017年排渍工作实施方案》，结合环境保护等要求，合理对全年各泵站的开机运行及涵闸调度进行具体部署，并按照应急抽排工作方案，对新建的泵站配合开展抽排工作，并督导泵站实施好各项排渍工作。二是组织前进路、后湖、罗家路、鹦鹉洲等单位抢险队大力开展排渍应急演练，着力提升人员及设备应急抢险能力。三是结合各单位生产运行情况，在汛期内继续加强对设备的检修工作。</w:t>
      </w:r>
    </w:p>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rPr>
        <w:t xml:space="preserve"> </w:t>
      </w:r>
      <w:r>
        <w:rPr>
          <w:rFonts w:hint="eastAsia" w:ascii="仿宋" w:hAnsi="仿宋" w:eastAsia="仿宋"/>
          <w:bCs/>
          <w:sz w:val="28"/>
          <w:szCs w:val="28"/>
          <w:lang w:val="en-US" w:eastAsia="zh-CN"/>
        </w:rPr>
        <w:t>2.</w:t>
      </w:r>
      <w:r>
        <w:rPr>
          <w:rFonts w:hint="eastAsia" w:ascii="仿宋" w:hAnsi="仿宋" w:eastAsia="仿宋"/>
          <w:bCs/>
          <w:sz w:val="28"/>
          <w:szCs w:val="28"/>
        </w:rPr>
        <w:t>高度重视安全生产各项工作，为防汛排渍保驾护航</w:t>
      </w:r>
      <w:r>
        <w:rPr>
          <w:rFonts w:hint="eastAsia" w:ascii="仿宋" w:hAnsi="仿宋" w:eastAsia="仿宋"/>
          <w:bCs/>
          <w:sz w:val="28"/>
          <w:szCs w:val="28"/>
          <w:lang w:eastAsia="zh-CN"/>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一是健全领导机制，强化宣传教育，提高安全生产意识，为顺利开展排渍工作提供保障。成立泵站处2017年安全生产领导小组，印发《2017年全处安全生产工作纲要》，加强对全处安全生产工作的领导，切实贯彻执行安全生产的各项法律、法规，减少各类安全生产事故的发生。二是全面贯彻安全生产主体责任制，加强隐患排查工作，强调属地管理原则。按照2017年汛前处属各单位签订的安全工作责任状、排水泵站设施运行维护责任书的内容，层层落实安全生产责任制。三是积极开展安全生产隐患排查，自查自纠及督查工作。组织开展了隐患排查及整改、应急演练、网络知识竞赛、安全生产宣教日等相关活动，利用活动推进了</w:t>
      </w:r>
      <w:r>
        <w:rPr>
          <w:rFonts w:hint="eastAsia" w:ascii="仿宋" w:hAnsi="仿宋" w:eastAsia="仿宋"/>
          <w:bCs/>
          <w:sz w:val="28"/>
          <w:szCs w:val="28"/>
          <w:lang w:eastAsia="zh-CN"/>
        </w:rPr>
        <w:t>全</w:t>
      </w:r>
      <w:r>
        <w:rPr>
          <w:rFonts w:hint="eastAsia" w:ascii="仿宋" w:hAnsi="仿宋" w:eastAsia="仿宋"/>
          <w:bCs/>
          <w:sz w:val="28"/>
          <w:szCs w:val="28"/>
        </w:rPr>
        <w:t>处的安全生产工作，提高了全处各单位的安全生产工作意识。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w:t>
      </w:r>
      <w:r>
        <w:rPr>
          <w:rFonts w:hint="eastAsia" w:ascii="仿宋" w:hAnsi="仿宋" w:eastAsia="仿宋"/>
          <w:bCs/>
          <w:sz w:val="28"/>
          <w:szCs w:val="28"/>
          <w:lang w:eastAsia="zh-CN"/>
        </w:rPr>
        <w:t>.</w:t>
      </w:r>
      <w:r>
        <w:rPr>
          <w:rFonts w:hint="eastAsia" w:ascii="仿宋" w:hAnsi="仿宋" w:eastAsia="仿宋"/>
          <w:bCs/>
          <w:sz w:val="28"/>
          <w:szCs w:val="28"/>
        </w:rPr>
        <w:t>加大力度，持续开展技术培训工作</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一是在全处范围内以泵站为基本单位开展职工汛前岗位培训，落实培训到每一个一线职工。二是大力开展科技周活动，紧紧围绕“科技强国创新圆梦”的活动主题，开展了论文征集评比、兄弟泵站技术交流、湖北省电力博物馆参观、水务科学知识竞赛等一系列富有水务泵站特色的科技活动。三是针对全处泵站运行工“高压电工特种作业操作证”统一安排了相关的培训及审验、新考证的工作。</w:t>
      </w:r>
    </w:p>
    <w:p>
      <w:pPr>
        <w:spacing w:line="520" w:lineRule="exact"/>
        <w:ind w:firstLine="560" w:firstLineChars="200"/>
        <w:outlineLvl w:val="1"/>
        <w:rPr>
          <w:rFonts w:ascii="仿宋" w:hAnsi="仿宋" w:eastAsia="仿宋"/>
          <w:bCs/>
          <w:sz w:val="28"/>
          <w:szCs w:val="28"/>
        </w:rPr>
      </w:pPr>
      <w:bookmarkStart w:id="41" w:name="_Toc517708027"/>
      <w:r>
        <w:rPr>
          <w:rFonts w:hint="eastAsia" w:ascii="仿宋" w:hAnsi="仿宋" w:eastAsia="仿宋"/>
          <w:bCs/>
          <w:sz w:val="28"/>
          <w:szCs w:val="28"/>
        </w:rPr>
        <w:t>（二）主要问题</w:t>
      </w:r>
      <w:bookmarkEnd w:id="41"/>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1.投入方面</w:t>
      </w:r>
    </w:p>
    <w:p>
      <w:pPr>
        <w:spacing w:line="520" w:lineRule="exact"/>
        <w:ind w:firstLine="640"/>
        <w:rPr>
          <w:rFonts w:hint="eastAsia" w:ascii="仿宋" w:hAnsi="仿宋" w:eastAsia="仿宋"/>
          <w:sz w:val="28"/>
          <w:szCs w:val="28"/>
          <w:lang w:val="en-US" w:eastAsia="zh-CN"/>
        </w:rPr>
      </w:pPr>
      <w:r>
        <w:rPr>
          <w:rFonts w:hint="eastAsia" w:ascii="仿宋" w:hAnsi="仿宋" w:eastAsia="仿宋"/>
          <w:sz w:val="28"/>
          <w:szCs w:val="28"/>
        </w:rPr>
        <w:t>项目申报文本中项目支出测算依据及说明不具体，项目支出内容</w:t>
      </w:r>
      <w:r>
        <w:rPr>
          <w:rFonts w:hint="eastAsia" w:ascii="仿宋" w:hAnsi="仿宋" w:eastAsia="仿宋"/>
          <w:sz w:val="28"/>
          <w:szCs w:val="28"/>
          <w:lang w:eastAsia="zh-CN"/>
        </w:rPr>
        <w:t>有待进一步</w:t>
      </w:r>
      <w:r>
        <w:rPr>
          <w:rFonts w:hint="eastAsia" w:ascii="仿宋" w:hAnsi="仿宋" w:eastAsia="仿宋"/>
          <w:sz w:val="28"/>
          <w:szCs w:val="28"/>
        </w:rPr>
        <w:t>进行细化测算</w:t>
      </w:r>
      <w:r>
        <w:rPr>
          <w:rFonts w:hint="eastAsia" w:ascii="仿宋" w:hAnsi="仿宋" w:eastAsia="仿宋"/>
          <w:sz w:val="28"/>
          <w:szCs w:val="28"/>
          <w:lang w:eastAsia="zh-CN"/>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2.管理方面</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eastAsia="zh-CN"/>
        </w:rPr>
        <w:t>一是</w:t>
      </w:r>
      <w:r>
        <w:rPr>
          <w:rFonts w:hint="eastAsia" w:ascii="仿宋" w:hAnsi="仿宋" w:eastAsia="仿宋"/>
          <w:bCs/>
          <w:sz w:val="28"/>
          <w:szCs w:val="28"/>
        </w:rPr>
        <w:t>项目资料存在不规范的情况，</w:t>
      </w:r>
      <w:r>
        <w:rPr>
          <w:rFonts w:hint="eastAsia" w:ascii="仿宋" w:hAnsi="仿宋" w:eastAsia="仿宋"/>
          <w:bCs/>
          <w:sz w:val="28"/>
          <w:szCs w:val="28"/>
          <w:lang w:eastAsia="zh-CN"/>
        </w:rPr>
        <w:t>二</w:t>
      </w:r>
      <w:r>
        <w:rPr>
          <w:rFonts w:hint="eastAsia" w:ascii="仿宋" w:hAnsi="仿宋" w:eastAsia="仿宋"/>
          <w:bCs/>
          <w:sz w:val="28"/>
          <w:szCs w:val="28"/>
        </w:rPr>
        <w:t>是泵站的抽排能力</w:t>
      </w:r>
      <w:r>
        <w:rPr>
          <w:rFonts w:hint="eastAsia" w:ascii="仿宋" w:hAnsi="仿宋" w:eastAsia="仿宋"/>
          <w:bCs/>
          <w:sz w:val="28"/>
          <w:szCs w:val="28"/>
          <w:lang w:eastAsia="zh-CN"/>
        </w:rPr>
        <w:t>和</w:t>
      </w:r>
      <w:r>
        <w:rPr>
          <w:rFonts w:hint="eastAsia" w:ascii="仿宋" w:hAnsi="仿宋" w:eastAsia="仿宋"/>
          <w:bCs/>
          <w:sz w:val="28"/>
          <w:szCs w:val="28"/>
        </w:rPr>
        <w:t>信息化水平与城市发展还存在一定的差距。</w:t>
      </w:r>
    </w:p>
    <w:p>
      <w:pPr>
        <w:spacing w:line="520" w:lineRule="exact"/>
        <w:ind w:firstLine="560" w:firstLineChars="200"/>
        <w:outlineLvl w:val="0"/>
        <w:rPr>
          <w:rFonts w:ascii="黑体" w:hAnsi="黑体" w:eastAsia="黑体" w:cs="黑体"/>
          <w:sz w:val="28"/>
          <w:szCs w:val="28"/>
        </w:rPr>
      </w:pPr>
      <w:bookmarkStart w:id="42" w:name="_Toc517708028"/>
      <w:bookmarkStart w:id="43" w:name="_Toc511502550"/>
      <w:bookmarkStart w:id="44" w:name="_Toc31947"/>
      <w:r>
        <w:rPr>
          <w:rFonts w:hint="eastAsia" w:ascii="黑体" w:hAnsi="黑体" w:eastAsia="黑体" w:cs="黑体"/>
          <w:sz w:val="28"/>
          <w:szCs w:val="28"/>
        </w:rPr>
        <w:t>五、建议</w:t>
      </w:r>
      <w:bookmarkEnd w:id="42"/>
      <w:bookmarkEnd w:id="43"/>
    </w:p>
    <w:p>
      <w:pPr>
        <w:spacing w:line="520" w:lineRule="exact"/>
        <w:ind w:firstLine="560" w:firstLineChars="200"/>
        <w:rPr>
          <w:rFonts w:ascii="仿宋" w:hAnsi="仿宋" w:eastAsia="仿宋"/>
          <w:sz w:val="28"/>
          <w:szCs w:val="28"/>
        </w:rPr>
      </w:pPr>
      <w:r>
        <w:rPr>
          <w:rFonts w:hint="eastAsia" w:ascii="仿宋" w:hAnsi="仿宋" w:eastAsia="仿宋"/>
          <w:sz w:val="28"/>
          <w:szCs w:val="28"/>
        </w:rPr>
        <w:t>1.投入方面</w:t>
      </w:r>
      <w:bookmarkEnd w:id="44"/>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加强对《预算法》、《会计法》等法律法规的学习宣传力度，落实部门预算编制的主体责任。要在预算部门开展多种形式的《预算法》学习宣传活动，提高部门工作人员的预算法定意识、资金绩效意识、花钱责任意识，明确部门对预算编制的真实性、准确性、完整性负有的法定责任，增强机关工作人员的预算编制参与度，准确、合理编制项目绩效目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 xml:space="preserve"> 2</w:t>
      </w:r>
      <w:r>
        <w:rPr>
          <w:rFonts w:hint="eastAsia" w:ascii="仿宋" w:hAnsi="仿宋" w:eastAsia="仿宋"/>
          <w:bCs/>
          <w:sz w:val="28"/>
          <w:szCs w:val="28"/>
        </w:rPr>
        <w:t>.项目管理方面</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（1）项目建设单位、项目施工单位、监理单位严格按照工程项目建设程序和工程项目档案管理的要求填写相关资料。</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w:t>
      </w:r>
      <w:r>
        <w:rPr>
          <w:rFonts w:hint="eastAsia" w:ascii="仿宋" w:hAnsi="仿宋" w:eastAsia="仿宋"/>
          <w:bCs/>
          <w:sz w:val="28"/>
          <w:szCs w:val="28"/>
          <w:lang w:val="en-US" w:eastAsia="zh-CN"/>
        </w:rPr>
        <w:t>2</w:t>
      </w:r>
      <w:r>
        <w:rPr>
          <w:rFonts w:hint="eastAsia" w:ascii="仿宋" w:hAnsi="仿宋" w:eastAsia="仿宋"/>
          <w:bCs/>
          <w:sz w:val="28"/>
          <w:szCs w:val="28"/>
        </w:rPr>
        <w:t>）加强前期研究工作，科学谋划全处排水设施的更新改造。抓紧开展老旧泵站设施改造的前期设计研究工作，充实泵站建设改造项目库，利用有利时机申请资金支持，及时更新改造年代久远</w:t>
      </w:r>
      <w:r>
        <w:rPr>
          <w:rFonts w:hint="eastAsia" w:ascii="仿宋" w:hAnsi="仿宋" w:eastAsia="仿宋"/>
          <w:bCs/>
          <w:sz w:val="28"/>
          <w:szCs w:val="28"/>
          <w:lang w:eastAsia="zh-CN"/>
        </w:rPr>
        <w:t>、</w:t>
      </w:r>
      <w:r>
        <w:rPr>
          <w:rFonts w:hint="eastAsia" w:ascii="仿宋" w:hAnsi="仿宋" w:eastAsia="仿宋"/>
          <w:bCs/>
          <w:sz w:val="28"/>
          <w:szCs w:val="28"/>
        </w:rPr>
        <w:t>运行标准落后的水泵电机及电气设备，不断推进老旧泵站设施的改造升级工作，确保设备运行高效安全。改变泵站、渠道环境恶劣的旧有形象，优化泵站及渠道环境，全面打造泵站及明渠的绿色生态景观。</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w:t>
      </w:r>
      <w:r>
        <w:rPr>
          <w:rFonts w:hint="eastAsia" w:ascii="仿宋" w:hAnsi="仿宋" w:eastAsia="仿宋"/>
          <w:bCs/>
          <w:sz w:val="28"/>
          <w:szCs w:val="28"/>
          <w:lang w:val="en-US" w:eastAsia="zh-CN"/>
        </w:rPr>
        <w:t>3</w:t>
      </w:r>
      <w:r>
        <w:rPr>
          <w:rFonts w:hint="eastAsia" w:ascii="仿宋" w:hAnsi="仿宋" w:eastAsia="仿宋"/>
          <w:bCs/>
          <w:sz w:val="28"/>
          <w:szCs w:val="28"/>
        </w:rPr>
        <w:t>）</w:t>
      </w:r>
      <w:bookmarkStart w:id="45" w:name="_Toc16744"/>
      <w:r>
        <w:rPr>
          <w:rFonts w:hint="eastAsia" w:ascii="仿宋" w:hAnsi="仿宋" w:eastAsia="仿宋"/>
          <w:bCs/>
          <w:sz w:val="28"/>
          <w:szCs w:val="28"/>
        </w:rPr>
        <w:t>深化落实泵站安全生产标准化工作。不断创新泵站安全生产管理的方式方法，在现有泵站设备维护管理及安全生产工作制度和标准的基础上，采取多方面的技术和管理手段加强标准化的执行，提升泵站安全生产维护管理水平。</w:t>
      </w:r>
    </w:p>
    <w:bookmarkEnd w:id="45"/>
    <w:p>
      <w:pPr>
        <w:ind w:firstLine="560" w:firstLineChars="200"/>
        <w:rPr>
          <w:rFonts w:hint="eastAsia" w:ascii="仿宋" w:hAnsi="仿宋" w:eastAsia="仿宋"/>
          <w:sz w:val="28"/>
          <w:szCs w:val="28"/>
        </w:rPr>
      </w:pPr>
      <w:r>
        <w:rPr>
          <w:rFonts w:hint="eastAsia" w:ascii="黑体" w:hAnsi="黑体" w:eastAsia="黑体" w:cs="黑体"/>
          <w:sz w:val="28"/>
          <w:szCs w:val="28"/>
          <w:lang w:val="en-US" w:eastAsia="zh-CN"/>
        </w:rPr>
        <w:t xml:space="preserve"> </w:t>
      </w:r>
    </w:p>
    <w:p>
      <w:pPr>
        <w:ind w:firstLine="560" w:firstLineChars="200"/>
        <w:rPr>
          <w:rFonts w:hint="eastAsia" w:ascii="仿宋" w:hAnsi="仿宋" w:eastAsia="仿宋"/>
          <w:sz w:val="28"/>
          <w:szCs w:val="28"/>
        </w:rPr>
      </w:pPr>
    </w:p>
    <w:p>
      <w:pPr>
        <w:ind w:firstLine="560" w:firstLineChars="200"/>
        <w:rPr>
          <w:rFonts w:hint="eastAsia" w:ascii="仿宋" w:hAnsi="仿宋" w:eastAsia="仿宋"/>
          <w:sz w:val="28"/>
          <w:szCs w:val="28"/>
        </w:rPr>
      </w:pPr>
    </w:p>
    <w:p>
      <w:pPr>
        <w:ind w:firstLine="560" w:firstLineChars="200"/>
        <w:rPr>
          <w:rFonts w:hint="eastAsia" w:ascii="仿宋" w:hAnsi="仿宋" w:eastAsia="仿宋"/>
          <w:sz w:val="28"/>
          <w:szCs w:val="28"/>
        </w:rPr>
      </w:pPr>
    </w:p>
    <w:p>
      <w:pPr>
        <w:ind w:firstLine="560" w:firstLineChars="200"/>
        <w:rPr>
          <w:rFonts w:hint="eastAsia"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p>
    <w:p>
      <w:pPr>
        <w:ind w:firstLine="4760" w:firstLineChars="1700"/>
      </w:pPr>
      <w:r>
        <w:rPr>
          <w:rFonts w:hint="eastAsia" w:ascii="仿宋" w:hAnsi="仿宋" w:eastAsia="仿宋"/>
          <w:sz w:val="28"/>
          <w:szCs w:val="28"/>
        </w:rPr>
        <w:t>二○一八年</w:t>
      </w:r>
      <w:r>
        <w:rPr>
          <w:rFonts w:hint="eastAsia" w:ascii="仿宋" w:hAnsi="仿宋" w:eastAsia="仿宋"/>
          <w:sz w:val="28"/>
          <w:szCs w:val="28"/>
          <w:lang w:eastAsia="zh-CN"/>
        </w:rPr>
        <w:t>七</w:t>
      </w:r>
      <w:r>
        <w:rPr>
          <w:rFonts w:hint="eastAsia" w:ascii="仿宋" w:hAnsi="仿宋" w:eastAsia="仿宋"/>
          <w:sz w:val="28"/>
          <w:szCs w:val="28"/>
        </w:rPr>
        <w:t xml:space="preserve">月十五日     </w:t>
      </w:r>
    </w:p>
    <w:p>
      <w:pPr>
        <w:spacing w:line="520" w:lineRule="exact"/>
        <w:ind w:firstLine="560" w:firstLineChars="200"/>
        <w:outlineLvl w:val="1"/>
        <w:rPr>
          <w:rFonts w:ascii="仿宋" w:hAnsi="仿宋" w:eastAsia="仿宋"/>
          <w:bCs/>
          <w:sz w:val="28"/>
          <w:szCs w:val="28"/>
        </w:rPr>
      </w:pPr>
    </w:p>
    <w:p/>
    <w:sectPr>
      <w:pgSz w:w="11850" w:h="16783"/>
      <w:pgMar w:top="1440" w:right="1800" w:bottom="1440"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lgun Gothic Semilight">
    <w:altName w:val="Arial Unicode MS"/>
    <w:panose1 w:val="00000000000000000000"/>
    <w:charset w:val="86"/>
    <w:family w:val="swiss"/>
    <w:pitch w:val="default"/>
    <w:sig w:usb0="00000000" w:usb1="00000000" w:usb2="00000012" w:usb3="00000000" w:csb0="003E01BD" w:csb1="00000000"/>
  </w:font>
  <w:font w:name="方正仿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19</w:t>
    </w:r>
    <w: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68"/>
    <w:rsid w:val="0002630D"/>
    <w:rsid w:val="000924B0"/>
    <w:rsid w:val="000E016E"/>
    <w:rsid w:val="000F1C74"/>
    <w:rsid w:val="000F54BB"/>
    <w:rsid w:val="00101AF6"/>
    <w:rsid w:val="00150AC5"/>
    <w:rsid w:val="00156362"/>
    <w:rsid w:val="001E5898"/>
    <w:rsid w:val="001F6A68"/>
    <w:rsid w:val="0022531D"/>
    <w:rsid w:val="002469B1"/>
    <w:rsid w:val="002D0E32"/>
    <w:rsid w:val="003F2396"/>
    <w:rsid w:val="00411F4F"/>
    <w:rsid w:val="00423797"/>
    <w:rsid w:val="00427412"/>
    <w:rsid w:val="00462CE4"/>
    <w:rsid w:val="00473879"/>
    <w:rsid w:val="004A2A1F"/>
    <w:rsid w:val="004C58FC"/>
    <w:rsid w:val="0053051C"/>
    <w:rsid w:val="0053738A"/>
    <w:rsid w:val="005814A7"/>
    <w:rsid w:val="005F2B9A"/>
    <w:rsid w:val="005F531E"/>
    <w:rsid w:val="00602F5C"/>
    <w:rsid w:val="00627ECB"/>
    <w:rsid w:val="00630623"/>
    <w:rsid w:val="00640F88"/>
    <w:rsid w:val="006F7839"/>
    <w:rsid w:val="00722FA7"/>
    <w:rsid w:val="007D2490"/>
    <w:rsid w:val="007E7603"/>
    <w:rsid w:val="00826562"/>
    <w:rsid w:val="0083180C"/>
    <w:rsid w:val="008717E7"/>
    <w:rsid w:val="009020F4"/>
    <w:rsid w:val="009D2601"/>
    <w:rsid w:val="00A26A19"/>
    <w:rsid w:val="00A402C6"/>
    <w:rsid w:val="00A47D3D"/>
    <w:rsid w:val="00A76C71"/>
    <w:rsid w:val="00AB4DF2"/>
    <w:rsid w:val="00AD2DE4"/>
    <w:rsid w:val="00AE4815"/>
    <w:rsid w:val="00AF549B"/>
    <w:rsid w:val="00B0116C"/>
    <w:rsid w:val="00B050E9"/>
    <w:rsid w:val="00B453CB"/>
    <w:rsid w:val="00B55C63"/>
    <w:rsid w:val="00B55F41"/>
    <w:rsid w:val="00BC6704"/>
    <w:rsid w:val="00C3626F"/>
    <w:rsid w:val="00C401E5"/>
    <w:rsid w:val="00C83B2C"/>
    <w:rsid w:val="00CE4C59"/>
    <w:rsid w:val="00D01713"/>
    <w:rsid w:val="00D26A36"/>
    <w:rsid w:val="00D27179"/>
    <w:rsid w:val="00D55825"/>
    <w:rsid w:val="00DE15AE"/>
    <w:rsid w:val="00E45386"/>
    <w:rsid w:val="00EC6281"/>
    <w:rsid w:val="00ED3866"/>
    <w:rsid w:val="00EF1C6B"/>
    <w:rsid w:val="00F243E2"/>
    <w:rsid w:val="00F74552"/>
    <w:rsid w:val="00F85758"/>
    <w:rsid w:val="00FE50AE"/>
    <w:rsid w:val="011619D5"/>
    <w:rsid w:val="024977BB"/>
    <w:rsid w:val="0288485C"/>
    <w:rsid w:val="028F5CDE"/>
    <w:rsid w:val="04F362FC"/>
    <w:rsid w:val="05DF0C97"/>
    <w:rsid w:val="06536D95"/>
    <w:rsid w:val="07427A65"/>
    <w:rsid w:val="08255181"/>
    <w:rsid w:val="08F54415"/>
    <w:rsid w:val="091303B6"/>
    <w:rsid w:val="092513DB"/>
    <w:rsid w:val="094012E4"/>
    <w:rsid w:val="0AC216AF"/>
    <w:rsid w:val="0BAC1EC3"/>
    <w:rsid w:val="0BF5512F"/>
    <w:rsid w:val="0C0617A3"/>
    <w:rsid w:val="0D08548C"/>
    <w:rsid w:val="0D113817"/>
    <w:rsid w:val="112253B8"/>
    <w:rsid w:val="11502F87"/>
    <w:rsid w:val="11B0026D"/>
    <w:rsid w:val="12515C87"/>
    <w:rsid w:val="14592BF5"/>
    <w:rsid w:val="15850CA3"/>
    <w:rsid w:val="15F479EB"/>
    <w:rsid w:val="16291CDF"/>
    <w:rsid w:val="181E065C"/>
    <w:rsid w:val="199C2E4D"/>
    <w:rsid w:val="1A2A6E64"/>
    <w:rsid w:val="1A365119"/>
    <w:rsid w:val="1A3F1B4F"/>
    <w:rsid w:val="1A3F2E17"/>
    <w:rsid w:val="1B037C30"/>
    <w:rsid w:val="1B4A4ED5"/>
    <w:rsid w:val="1C906F25"/>
    <w:rsid w:val="1E660C08"/>
    <w:rsid w:val="203E6FA4"/>
    <w:rsid w:val="20ED1245"/>
    <w:rsid w:val="2106178E"/>
    <w:rsid w:val="21BF7F6B"/>
    <w:rsid w:val="22880C40"/>
    <w:rsid w:val="22B465EB"/>
    <w:rsid w:val="232A40C1"/>
    <w:rsid w:val="242849EB"/>
    <w:rsid w:val="26403A28"/>
    <w:rsid w:val="27387775"/>
    <w:rsid w:val="27DD24A2"/>
    <w:rsid w:val="28317ACF"/>
    <w:rsid w:val="285C3A79"/>
    <w:rsid w:val="291F14E2"/>
    <w:rsid w:val="2A5A1C24"/>
    <w:rsid w:val="2A8D35B3"/>
    <w:rsid w:val="2AF65105"/>
    <w:rsid w:val="2B2A72A3"/>
    <w:rsid w:val="2C3B54E0"/>
    <w:rsid w:val="2C9A3A8F"/>
    <w:rsid w:val="2DA13818"/>
    <w:rsid w:val="2EF714FF"/>
    <w:rsid w:val="2F5739E0"/>
    <w:rsid w:val="31BB42DC"/>
    <w:rsid w:val="31D41DB8"/>
    <w:rsid w:val="345A0D06"/>
    <w:rsid w:val="346053E0"/>
    <w:rsid w:val="34910A7F"/>
    <w:rsid w:val="378E71C4"/>
    <w:rsid w:val="37A82FD8"/>
    <w:rsid w:val="37DB4908"/>
    <w:rsid w:val="38AA2178"/>
    <w:rsid w:val="3A3B3B69"/>
    <w:rsid w:val="3B4F2AF1"/>
    <w:rsid w:val="3B6B0524"/>
    <w:rsid w:val="3EC12C56"/>
    <w:rsid w:val="401A3308"/>
    <w:rsid w:val="41A77903"/>
    <w:rsid w:val="44270ED5"/>
    <w:rsid w:val="45912B36"/>
    <w:rsid w:val="469E7D8F"/>
    <w:rsid w:val="47C63392"/>
    <w:rsid w:val="48CA4E98"/>
    <w:rsid w:val="491362C8"/>
    <w:rsid w:val="49437007"/>
    <w:rsid w:val="49EE6A34"/>
    <w:rsid w:val="4A0B34FA"/>
    <w:rsid w:val="4A611E13"/>
    <w:rsid w:val="4B772C52"/>
    <w:rsid w:val="4C6B7847"/>
    <w:rsid w:val="4E054A3A"/>
    <w:rsid w:val="4E163FD2"/>
    <w:rsid w:val="4F9E5A56"/>
    <w:rsid w:val="50454210"/>
    <w:rsid w:val="5061685E"/>
    <w:rsid w:val="5107433E"/>
    <w:rsid w:val="53D14E65"/>
    <w:rsid w:val="576E4AD0"/>
    <w:rsid w:val="57BF4437"/>
    <w:rsid w:val="5AA44C18"/>
    <w:rsid w:val="5B0475F4"/>
    <w:rsid w:val="5B1F46C4"/>
    <w:rsid w:val="5C91170E"/>
    <w:rsid w:val="5DB73557"/>
    <w:rsid w:val="5DCB7161"/>
    <w:rsid w:val="5E33441B"/>
    <w:rsid w:val="5F2B4604"/>
    <w:rsid w:val="5FAD482D"/>
    <w:rsid w:val="60C056D5"/>
    <w:rsid w:val="61FC2E74"/>
    <w:rsid w:val="62A76951"/>
    <w:rsid w:val="636742BA"/>
    <w:rsid w:val="63D12B27"/>
    <w:rsid w:val="64BB71DA"/>
    <w:rsid w:val="64FA052D"/>
    <w:rsid w:val="6589703A"/>
    <w:rsid w:val="663D37A6"/>
    <w:rsid w:val="675B5AB9"/>
    <w:rsid w:val="67907920"/>
    <w:rsid w:val="67922130"/>
    <w:rsid w:val="6B146E2D"/>
    <w:rsid w:val="6C2E5A3D"/>
    <w:rsid w:val="6F732F20"/>
    <w:rsid w:val="6F7F7D21"/>
    <w:rsid w:val="6F9047AB"/>
    <w:rsid w:val="6FE36C9D"/>
    <w:rsid w:val="70D87661"/>
    <w:rsid w:val="722D7391"/>
    <w:rsid w:val="72DE7EE6"/>
    <w:rsid w:val="732E1A61"/>
    <w:rsid w:val="73986528"/>
    <w:rsid w:val="75647FCD"/>
    <w:rsid w:val="75AC5602"/>
    <w:rsid w:val="75CE698D"/>
    <w:rsid w:val="75D96BCD"/>
    <w:rsid w:val="766846A9"/>
    <w:rsid w:val="77445955"/>
    <w:rsid w:val="77D12C2E"/>
    <w:rsid w:val="77DB16D4"/>
    <w:rsid w:val="786E5426"/>
    <w:rsid w:val="79C62A8B"/>
    <w:rsid w:val="7B470FC6"/>
    <w:rsid w:val="7B533FAA"/>
    <w:rsid w:val="7B5C3842"/>
    <w:rsid w:val="7BD73647"/>
    <w:rsid w:val="7BEA0549"/>
    <w:rsid w:val="7CEB754A"/>
    <w:rsid w:val="7E9D4A56"/>
    <w:rsid w:val="7F1C7F7D"/>
    <w:rsid w:val="7F794C90"/>
    <w:rsid w:val="7FC51D4D"/>
    <w:rsid w:val="7FFF6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qFormat/>
    <w:uiPriority w:val="39"/>
    <w:pPr>
      <w:ind w:left="840" w:leftChars="4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39"/>
  </w:style>
  <w:style w:type="paragraph" w:styleId="6">
    <w:name w:val="toc 2"/>
    <w:basedOn w:val="1"/>
    <w:next w:val="1"/>
    <w:qFormat/>
    <w:uiPriority w:val="39"/>
    <w:pPr>
      <w:ind w:left="420" w:leftChars="200"/>
    </w:pPr>
  </w:style>
  <w:style w:type="character" w:styleId="8">
    <w:name w:val="Hyperlink"/>
    <w:basedOn w:val="7"/>
    <w:unhideWhenUsed/>
    <w:qFormat/>
    <w:uiPriority w:val="99"/>
    <w:rPr>
      <w:color w:val="0563C1" w:themeColor="hyperlink"/>
      <w:u w:val="single"/>
      <w14:textFill>
        <w14:solidFill>
          <w14:schemeClr w14:val="hlink"/>
        </w14:solidFill>
      </w14:textFill>
    </w:rPr>
  </w:style>
  <w:style w:type="paragraph" w:customStyle="1" w:styleId="10">
    <w:name w:val="lxl"/>
    <w:basedOn w:val="1"/>
    <w:qFormat/>
    <w:uiPriority w:val="0"/>
    <w:pPr>
      <w:widowControl/>
      <w:spacing w:line="560" w:lineRule="exact"/>
    </w:pPr>
    <w:rPr>
      <w:rFonts w:ascii="Malgun Gothic Semilight" w:hAnsi="Malgun Gothic Semilight" w:eastAsia="方正仿宋_GBK"/>
      <w:sz w:val="30"/>
      <w:szCs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2003</Words>
  <Characters>11422</Characters>
  <Lines>95</Lines>
  <Paragraphs>26</Paragraphs>
  <TotalTime>411</TotalTime>
  <ScaleCrop>false</ScaleCrop>
  <LinksUpToDate>false</LinksUpToDate>
  <CharactersWithSpaces>13399</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2018-08-27T07:58:00Z</cp:lastPrinted>
  <dcterms:modified xsi:type="dcterms:W3CDTF">2018-10-26T03:04:08Z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