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427" w:hRule="atLeast"/>
        </w:trPr>
        <w:tc>
          <w:tcPr>
            <w:tcW w:w="8522" w:type="dxa"/>
          </w:tcPr>
          <w:p>
            <w:pPr>
              <w:jc w:val="center"/>
              <w:rPr>
                <w:rFonts w:hint="eastAsia" w:ascii="仿宋_GB2312" w:eastAsia="仿宋_GB2312"/>
                <w:b/>
                <w:sz w:val="32"/>
                <w:szCs w:val="32"/>
                <w:highlight w:val="none"/>
              </w:rPr>
            </w:pPr>
          </w:p>
          <w:p>
            <w:pPr>
              <w:jc w:val="center"/>
              <w:rPr>
                <w:rFonts w:ascii="仿宋_GB2312" w:eastAsia="仿宋_GB2312"/>
                <w:b/>
                <w:sz w:val="32"/>
                <w:szCs w:val="32"/>
                <w:highlight w:val="none"/>
              </w:rPr>
            </w:pPr>
          </w:p>
          <w:p>
            <w:pPr>
              <w:jc w:val="center"/>
              <w:rPr>
                <w:rFonts w:ascii="黑体" w:hAnsi="黑体" w:eastAsia="黑体"/>
                <w:b/>
                <w:sz w:val="36"/>
                <w:szCs w:val="36"/>
                <w:highlight w:val="none"/>
              </w:rPr>
            </w:pPr>
            <w:r>
              <w:rPr>
                <w:rFonts w:hint="eastAsia" w:ascii="黑体" w:hAnsi="黑体" w:eastAsia="黑体"/>
                <w:b/>
                <w:sz w:val="36"/>
                <w:szCs w:val="36"/>
                <w:highlight w:val="none"/>
              </w:rPr>
              <w:t>武汉市市直预算项目</w:t>
            </w:r>
          </w:p>
          <w:p>
            <w:pPr>
              <w:jc w:val="center"/>
              <w:rPr>
                <w:rFonts w:ascii="黑体" w:hAnsi="黑体" w:eastAsia="黑体"/>
                <w:b/>
                <w:sz w:val="32"/>
                <w:szCs w:val="32"/>
                <w:highlight w:val="none"/>
              </w:rPr>
            </w:pPr>
            <w:r>
              <w:rPr>
                <w:rFonts w:hint="eastAsia" w:ascii="黑体" w:hAnsi="黑体" w:eastAsia="黑体"/>
                <w:b/>
                <w:sz w:val="36"/>
                <w:szCs w:val="36"/>
                <w:highlight w:val="none"/>
              </w:rPr>
              <w:t>绩效自评报告</w:t>
            </w:r>
          </w:p>
          <w:p>
            <w:pPr>
              <w:jc w:val="center"/>
              <w:rPr>
                <w:rFonts w:ascii="黑体" w:hAnsi="黑体" w:eastAsia="黑体"/>
                <w:b/>
                <w:bCs/>
                <w:sz w:val="32"/>
                <w:szCs w:val="32"/>
                <w:highlight w:val="none"/>
              </w:rPr>
            </w:pPr>
          </w:p>
          <w:p>
            <w:pPr>
              <w:rPr>
                <w:rFonts w:ascii="黑体" w:hAnsi="黑体" w:eastAsia="黑体"/>
                <w:b/>
                <w:sz w:val="32"/>
                <w:szCs w:val="32"/>
                <w:highlight w:val="none"/>
              </w:rPr>
            </w:pPr>
          </w:p>
          <w:p>
            <w:pPr>
              <w:rPr>
                <w:rFonts w:ascii="黑体" w:hAnsi="黑体" w:eastAsia="黑体"/>
                <w:b/>
                <w:sz w:val="32"/>
                <w:szCs w:val="32"/>
                <w:highlight w:val="none"/>
              </w:rPr>
            </w:pPr>
          </w:p>
          <w:p>
            <w:pPr>
              <w:rPr>
                <w:rFonts w:ascii="黑体" w:hAnsi="黑体" w:eastAsia="黑体"/>
                <w:b/>
                <w:sz w:val="32"/>
                <w:szCs w:val="32"/>
                <w:highlight w:val="none"/>
              </w:rPr>
            </w:pPr>
          </w:p>
          <w:p>
            <w:pPr>
              <w:rPr>
                <w:rFonts w:ascii="黑体" w:hAnsi="黑体" w:eastAsia="黑体"/>
                <w:b/>
                <w:sz w:val="32"/>
                <w:szCs w:val="32"/>
                <w:highlight w:val="none"/>
              </w:rPr>
            </w:pPr>
          </w:p>
          <w:p>
            <w:pPr>
              <w:rPr>
                <w:rFonts w:hint="eastAsia" w:ascii="黑体" w:hAnsi="黑体" w:eastAsia="黑体"/>
                <w:b/>
                <w:sz w:val="32"/>
                <w:szCs w:val="32"/>
                <w:highlight w:val="none"/>
                <w:lang w:val="en-US" w:eastAsia="zh-CN"/>
              </w:rPr>
            </w:pPr>
            <w:r>
              <w:rPr>
                <w:rFonts w:hint="eastAsia" w:ascii="黑体" w:hAnsi="黑体" w:eastAsia="黑体"/>
                <w:b/>
                <w:sz w:val="32"/>
                <w:szCs w:val="32"/>
                <w:highlight w:val="none"/>
              </w:rPr>
              <w:t xml:space="preserve">          </w:t>
            </w:r>
            <w:r>
              <w:rPr>
                <w:rFonts w:hint="eastAsia" w:ascii="黑体" w:hAnsi="黑体" w:eastAsia="黑体"/>
                <w:bCs/>
                <w:sz w:val="32"/>
                <w:szCs w:val="32"/>
                <w:highlight w:val="none"/>
              </w:rPr>
              <w:t>项目名称：</w:t>
            </w:r>
            <w:r>
              <w:rPr>
                <w:rFonts w:hint="eastAsia" w:ascii="黑体" w:hAnsi="黑体" w:eastAsia="黑体"/>
                <w:bCs/>
                <w:sz w:val="32"/>
                <w:szCs w:val="32"/>
                <w:highlight w:val="none"/>
                <w:lang w:val="en-US" w:eastAsia="zh-CN"/>
              </w:rPr>
              <w:t>规费征收业务费、后勤管理服务</w:t>
            </w:r>
          </w:p>
          <w:p>
            <w:pPr>
              <w:tabs>
                <w:tab w:val="center" w:pos="4153"/>
              </w:tabs>
              <w:ind w:left="3196" w:leftChars="760" w:hanging="1600" w:hangingChars="500"/>
              <w:rPr>
                <w:rFonts w:hint="eastAsia" w:ascii="黑体" w:hAnsi="黑体" w:eastAsia="黑体"/>
                <w:bCs/>
                <w:sz w:val="32"/>
                <w:szCs w:val="32"/>
                <w:highlight w:val="none"/>
                <w:lang w:eastAsia="zh-CN"/>
              </w:rPr>
            </w:pPr>
            <w:r>
              <w:rPr>
                <w:rFonts w:hint="eastAsia" w:ascii="黑体" w:hAnsi="黑体" w:eastAsia="黑体"/>
                <w:bCs/>
                <w:sz w:val="32"/>
                <w:szCs w:val="32"/>
                <w:highlight w:val="none"/>
              </w:rPr>
              <w:t>项目单位：</w:t>
            </w:r>
            <w:r>
              <w:rPr>
                <w:rFonts w:hint="eastAsia" w:ascii="黑体" w:hAnsi="黑体" w:eastAsia="黑体"/>
                <w:bCs/>
                <w:sz w:val="32"/>
                <w:szCs w:val="32"/>
                <w:highlight w:val="none"/>
                <w:lang w:eastAsia="zh-CN"/>
              </w:rPr>
              <w:t>武汉市水务规费征收管理处</w:t>
            </w:r>
          </w:p>
          <w:p>
            <w:pPr>
              <w:ind w:firstLine="1600" w:firstLineChars="500"/>
              <w:rPr>
                <w:rFonts w:ascii="黑体" w:hAnsi="黑体" w:eastAsia="黑体"/>
                <w:bCs/>
                <w:sz w:val="32"/>
                <w:szCs w:val="32"/>
                <w:highlight w:val="none"/>
              </w:rPr>
            </w:pPr>
            <w:r>
              <w:rPr>
                <w:rFonts w:hint="eastAsia" w:ascii="黑体" w:hAnsi="黑体" w:eastAsia="黑体"/>
                <w:bCs/>
                <w:sz w:val="32"/>
                <w:szCs w:val="32"/>
                <w:highlight w:val="none"/>
              </w:rPr>
              <w:t>主管部门：武汉市水务局</w:t>
            </w:r>
          </w:p>
          <w:p>
            <w:pPr>
              <w:ind w:firstLine="1600" w:firstLineChars="500"/>
              <w:rPr>
                <w:rFonts w:ascii="黑体" w:hAnsi="黑体" w:eastAsia="黑体"/>
                <w:bCs/>
                <w:sz w:val="32"/>
                <w:szCs w:val="32"/>
                <w:highlight w:val="none"/>
              </w:rPr>
            </w:pPr>
            <w:r>
              <w:rPr>
                <w:rFonts w:hint="eastAsia" w:ascii="黑体" w:hAnsi="黑体" w:eastAsia="黑体"/>
                <w:bCs/>
                <w:sz w:val="32"/>
                <w:szCs w:val="32"/>
                <w:highlight w:val="none"/>
              </w:rPr>
              <w:t>报告时间：二○一八年七月</w:t>
            </w:r>
          </w:p>
          <w:p>
            <w:pPr>
              <w:jc w:val="center"/>
              <w:rPr>
                <w:rFonts w:ascii="黑体" w:hAnsi="黑体" w:eastAsia="黑体"/>
                <w:bCs/>
                <w:sz w:val="32"/>
                <w:szCs w:val="32"/>
                <w:highlight w:val="none"/>
              </w:rPr>
            </w:pPr>
          </w:p>
          <w:p>
            <w:pPr>
              <w:jc w:val="center"/>
              <w:rPr>
                <w:rFonts w:ascii="黑体" w:hAnsi="黑体" w:eastAsia="黑体"/>
                <w:bCs/>
                <w:sz w:val="32"/>
                <w:szCs w:val="32"/>
                <w:highlight w:val="none"/>
              </w:rPr>
            </w:pPr>
          </w:p>
          <w:p>
            <w:pPr>
              <w:jc w:val="center"/>
              <w:rPr>
                <w:rFonts w:ascii="黑体" w:hAnsi="黑体" w:eastAsia="黑体"/>
                <w:bCs/>
                <w:sz w:val="32"/>
                <w:szCs w:val="32"/>
                <w:highlight w:val="none"/>
              </w:rPr>
            </w:pPr>
          </w:p>
          <w:p>
            <w:pPr>
              <w:jc w:val="center"/>
              <w:rPr>
                <w:rFonts w:ascii="仿宋_GB2312" w:eastAsia="仿宋_GB2312"/>
                <w:b/>
                <w:sz w:val="32"/>
                <w:szCs w:val="32"/>
                <w:highlight w:val="none"/>
              </w:rPr>
            </w:pPr>
          </w:p>
          <w:p>
            <w:pPr>
              <w:jc w:val="center"/>
              <w:rPr>
                <w:rFonts w:ascii="仿宋_GB2312" w:eastAsia="仿宋_GB2312"/>
                <w:b/>
                <w:sz w:val="32"/>
                <w:szCs w:val="32"/>
                <w:highlight w:val="none"/>
              </w:rPr>
            </w:pPr>
          </w:p>
        </w:tc>
      </w:tr>
    </w:tbl>
    <w:p>
      <w:pPr>
        <w:tabs>
          <w:tab w:val="left" w:pos="1093"/>
        </w:tabs>
        <w:jc w:val="left"/>
        <w:rPr>
          <w:rFonts w:hint="eastAsia"/>
          <w:lang w:val="en-US" w:eastAsia="zh-CN"/>
        </w:rPr>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pPr>
      <w:bookmarkStart w:id="0" w:name="_Toc511502513"/>
      <w:bookmarkStart w:id="1" w:name="_Toc511502514"/>
      <w:bookmarkStart w:id="2" w:name="_Toc7334"/>
      <w:bookmarkStart w:id="3" w:name="_Toc517708013"/>
      <w:bookmarkStart w:id="4" w:name="_Toc511502532"/>
      <w:bookmarkStart w:id="5" w:name="_Toc1201_WPSOffice_Level1"/>
    </w:p>
    <w:bookmarkEnd w:id="0"/>
    <w:p>
      <w:pPr>
        <w:spacing w:line="520" w:lineRule="exact"/>
        <w:outlineLvl w:val="0"/>
        <w:rPr>
          <w:rFonts w:hint="eastAsia" w:ascii="黑体" w:hAnsi="黑体" w:eastAsia="黑体" w:cs="黑体"/>
          <w:bCs/>
          <w:sz w:val="28"/>
          <w:szCs w:val="28"/>
          <w:highlight w:val="none"/>
          <w:lang w:eastAsia="zh-CN"/>
        </w:rPr>
      </w:pPr>
      <w:r>
        <w:rPr>
          <w:rFonts w:hint="eastAsia" w:ascii="黑体" w:hAnsi="黑体" w:eastAsia="黑体" w:cs="黑体"/>
          <w:b/>
          <w:sz w:val="36"/>
          <w:szCs w:val="36"/>
          <w:highlight w:val="none"/>
          <w:lang w:val="en-US" w:eastAsia="zh-CN"/>
        </w:rPr>
        <w:t xml:space="preserve"> </w:t>
      </w:r>
      <w:bookmarkStart w:id="53" w:name="_GoBack"/>
      <w:bookmarkEnd w:id="53"/>
    </w:p>
    <w:p>
      <w:pPr>
        <w:spacing w:line="520" w:lineRule="exact"/>
        <w:ind w:firstLine="560" w:firstLineChars="200"/>
        <w:outlineLvl w:val="0"/>
        <w:rPr>
          <w:rFonts w:ascii="黑体" w:hAnsi="黑体" w:eastAsia="黑体" w:cs="黑体"/>
          <w:bCs/>
          <w:sz w:val="28"/>
          <w:szCs w:val="28"/>
          <w:highlight w:val="none"/>
        </w:rPr>
      </w:pPr>
      <w:bookmarkStart w:id="6" w:name="_Toc517708009"/>
      <w:r>
        <w:rPr>
          <w:rFonts w:hint="eastAsia" w:ascii="黑体" w:hAnsi="黑体" w:eastAsia="黑体" w:cs="黑体"/>
          <w:bCs/>
          <w:sz w:val="28"/>
          <w:szCs w:val="28"/>
          <w:highlight w:val="none"/>
        </w:rPr>
        <w:t>一、项目基本情况</w:t>
      </w:r>
      <w:bookmarkEnd w:id="1"/>
      <w:bookmarkEnd w:id="6"/>
    </w:p>
    <w:p>
      <w:pPr>
        <w:spacing w:line="520" w:lineRule="exact"/>
        <w:ind w:firstLine="560" w:firstLineChars="200"/>
        <w:outlineLvl w:val="1"/>
        <w:rPr>
          <w:rFonts w:hint="eastAsia" w:ascii="仿宋" w:hAnsi="仿宋" w:eastAsia="仿宋"/>
          <w:bCs/>
          <w:sz w:val="28"/>
          <w:szCs w:val="28"/>
          <w:highlight w:val="none"/>
        </w:rPr>
      </w:pPr>
      <w:bookmarkStart w:id="7" w:name="_Toc511502515"/>
      <w:bookmarkStart w:id="8" w:name="_Toc517708010"/>
      <w:r>
        <w:rPr>
          <w:rFonts w:hint="eastAsia" w:ascii="仿宋" w:hAnsi="仿宋" w:eastAsia="仿宋"/>
          <w:bCs/>
          <w:sz w:val="28"/>
          <w:szCs w:val="28"/>
          <w:highlight w:val="none"/>
        </w:rPr>
        <w:t>（一）</w:t>
      </w:r>
      <w:bookmarkEnd w:id="7"/>
      <w:r>
        <w:rPr>
          <w:rFonts w:hint="eastAsia" w:ascii="仿宋" w:hAnsi="仿宋" w:eastAsia="仿宋"/>
          <w:bCs/>
          <w:sz w:val="28"/>
          <w:szCs w:val="28"/>
          <w:highlight w:val="none"/>
        </w:rPr>
        <w:t>项目概况</w:t>
      </w:r>
      <w:bookmarkEnd w:id="8"/>
    </w:p>
    <w:p>
      <w:pPr>
        <w:spacing w:line="520" w:lineRule="exact"/>
        <w:ind w:firstLine="560" w:firstLineChars="200"/>
        <w:outlineLvl w:val="1"/>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武汉市水务规费征收管理处主要负责全市水务各项行政性规费和政府性基金的征收管理工作。一是贯彻执行宣传《中华人民共和国水土保护法》、《取水许可和水资源管理条例》等水法律法规；二是负责征收水资源费，并依法查处拒不缴纳、拖延缴纳或者托水资源费的行为；三是负责跨区域的涉及水土保持建设项目进行协调。项目的内容和范围是市级范围内，当年度水行政规费征收和水务工程招投标监督管理工作，目的是严格执法，依法行政。</w:t>
      </w:r>
    </w:p>
    <w:p>
      <w:pPr>
        <w:numPr>
          <w:ilvl w:val="0"/>
          <w:numId w:val="1"/>
        </w:numPr>
        <w:spacing w:line="520" w:lineRule="exact"/>
        <w:ind w:firstLine="560" w:firstLineChars="200"/>
        <w:outlineLvl w:val="1"/>
        <w:rPr>
          <w:rFonts w:hint="eastAsia" w:ascii="仿宋" w:hAnsi="仿宋" w:eastAsia="仿宋"/>
          <w:bCs/>
          <w:sz w:val="28"/>
          <w:szCs w:val="28"/>
          <w:highlight w:val="none"/>
        </w:rPr>
      </w:pPr>
      <w:bookmarkStart w:id="9" w:name="_Toc517708011"/>
      <w:bookmarkStart w:id="10" w:name="_Toc511502516"/>
      <w:r>
        <w:rPr>
          <w:rFonts w:hint="eastAsia" w:ascii="仿宋" w:hAnsi="仿宋" w:eastAsia="仿宋"/>
          <w:bCs/>
          <w:sz w:val="28"/>
          <w:szCs w:val="28"/>
          <w:highlight w:val="none"/>
        </w:rPr>
        <w:t>项目预算绩效目标</w:t>
      </w:r>
      <w:bookmarkEnd w:id="9"/>
    </w:p>
    <w:p>
      <w:pPr>
        <w:numPr>
          <w:ilvl w:val="0"/>
          <w:numId w:val="0"/>
        </w:numPr>
        <w:spacing w:line="520" w:lineRule="exact"/>
        <w:ind w:firstLine="560" w:firstLineChars="200"/>
        <w:outlineLvl w:val="1"/>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规费征收业务费项目绩效目标是市级水土保持费100万元，水资源费120万元，市级招投标管理100%全覆盖。</w:t>
      </w:r>
    </w:p>
    <w:p>
      <w:pPr>
        <w:numPr>
          <w:ilvl w:val="0"/>
          <w:numId w:val="0"/>
        </w:numPr>
        <w:spacing w:line="520" w:lineRule="exact"/>
        <w:ind w:firstLine="560" w:firstLineChars="200"/>
        <w:outlineLvl w:val="1"/>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规费征收业务费项目绩效指标设置情况如下：</w:t>
      </w:r>
    </w:p>
    <w:tbl>
      <w:tblPr>
        <w:tblStyle w:val="12"/>
        <w:tblW w:w="82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90"/>
        <w:gridCol w:w="3420"/>
        <w:gridCol w:w="2940"/>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7"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bookmarkStart w:id="11" w:name="_Toc517708012"/>
            <w:r>
              <w:rPr>
                <w:rFonts w:hint="eastAsia" w:ascii="仿宋" w:hAnsi="仿宋" w:eastAsia="仿宋" w:cs="仿宋"/>
                <w:i w:val="0"/>
                <w:color w:val="000000"/>
                <w:kern w:val="0"/>
                <w:sz w:val="24"/>
                <w:szCs w:val="24"/>
                <w:u w:val="none"/>
                <w:lang w:val="en-US" w:eastAsia="zh-CN" w:bidi="ar"/>
              </w:rPr>
              <w:t>一级指标</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二级指标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指标内容</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2"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产出指标</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数量指标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征收额</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7"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质量指标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合法性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7"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时效指标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当年度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当年度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2"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成本指标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费用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44.85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7"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效益指标</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经济效益指标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经济效益</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2"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社会效益指标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社会效益</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环境效益指标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环境效益</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可持续影响指标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可持续性效益</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社会公众或服务对象满意度指标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社会公众或服务对象满意度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w:t>
            </w:r>
          </w:p>
        </w:tc>
      </w:tr>
    </w:tbl>
    <w:p>
      <w:pPr>
        <w:spacing w:line="520" w:lineRule="exact"/>
        <w:ind w:firstLine="560" w:firstLineChars="200"/>
        <w:outlineLvl w:val="1"/>
        <w:rPr>
          <w:rFonts w:ascii="仿宋" w:hAnsi="仿宋" w:eastAsia="仿宋"/>
          <w:bCs/>
          <w:sz w:val="28"/>
          <w:szCs w:val="28"/>
          <w:highlight w:val="none"/>
        </w:rPr>
      </w:pPr>
      <w:r>
        <w:rPr>
          <w:rFonts w:hint="eastAsia" w:ascii="仿宋" w:hAnsi="仿宋" w:eastAsia="仿宋"/>
          <w:bCs/>
          <w:sz w:val="28"/>
          <w:szCs w:val="28"/>
          <w:highlight w:val="none"/>
        </w:rPr>
        <w:t>（三）经费来源及支出情况</w:t>
      </w:r>
      <w:bookmarkEnd w:id="10"/>
      <w:bookmarkEnd w:id="11"/>
    </w:p>
    <w:p>
      <w:pPr>
        <w:spacing w:line="520" w:lineRule="exact"/>
        <w:ind w:firstLine="560" w:firstLineChars="200"/>
        <w:rPr>
          <w:rFonts w:ascii="仿宋" w:hAnsi="仿宋" w:eastAsia="仿宋"/>
          <w:bCs/>
          <w:sz w:val="28"/>
          <w:szCs w:val="28"/>
          <w:highlight w:val="none"/>
        </w:rPr>
      </w:pPr>
      <w:r>
        <w:rPr>
          <w:rFonts w:hint="eastAsia" w:ascii="仿宋" w:hAnsi="仿宋" w:eastAsia="仿宋"/>
          <w:bCs/>
          <w:sz w:val="28"/>
          <w:szCs w:val="28"/>
          <w:highlight w:val="none"/>
        </w:rPr>
        <w:t>2017年项目预算投资</w:t>
      </w:r>
      <w:r>
        <w:rPr>
          <w:rFonts w:hint="eastAsia" w:ascii="仿宋" w:hAnsi="仿宋" w:eastAsia="仿宋"/>
          <w:bCs/>
          <w:sz w:val="28"/>
          <w:szCs w:val="28"/>
          <w:highlight w:val="none"/>
          <w:lang w:val="en-US" w:eastAsia="zh-CN"/>
        </w:rPr>
        <w:t>64.85</w:t>
      </w:r>
      <w:r>
        <w:rPr>
          <w:rFonts w:hint="eastAsia" w:ascii="仿宋" w:hAnsi="仿宋" w:eastAsia="仿宋"/>
          <w:bCs/>
          <w:sz w:val="28"/>
          <w:szCs w:val="28"/>
          <w:highlight w:val="none"/>
        </w:rPr>
        <w:t>万元，其中一般公共预算财政拨款收入</w:t>
      </w:r>
      <w:r>
        <w:rPr>
          <w:rFonts w:hint="eastAsia" w:ascii="仿宋" w:hAnsi="仿宋" w:eastAsia="仿宋"/>
          <w:bCs/>
          <w:sz w:val="28"/>
          <w:szCs w:val="28"/>
          <w:highlight w:val="none"/>
          <w:lang w:val="en-US" w:eastAsia="zh-CN"/>
        </w:rPr>
        <w:t>44.85</w:t>
      </w:r>
      <w:r>
        <w:rPr>
          <w:rFonts w:hint="eastAsia" w:ascii="仿宋" w:hAnsi="仿宋" w:eastAsia="仿宋"/>
          <w:bCs/>
          <w:sz w:val="28"/>
          <w:szCs w:val="28"/>
          <w:highlight w:val="none"/>
        </w:rPr>
        <w:t>万元</w:t>
      </w:r>
      <w:r>
        <w:rPr>
          <w:rFonts w:hint="eastAsia" w:ascii="仿宋" w:hAnsi="仿宋" w:eastAsia="仿宋"/>
          <w:bCs/>
          <w:sz w:val="28"/>
          <w:szCs w:val="28"/>
          <w:highlight w:val="none"/>
          <w:lang w:eastAsia="zh-CN"/>
        </w:rPr>
        <w:t>，</w:t>
      </w:r>
      <w:r>
        <w:rPr>
          <w:rFonts w:hint="eastAsia" w:ascii="仿宋" w:hAnsi="仿宋" w:eastAsia="仿宋"/>
          <w:bCs/>
          <w:sz w:val="28"/>
          <w:szCs w:val="28"/>
          <w:highlight w:val="none"/>
          <w:lang w:val="en-US" w:eastAsia="zh-CN"/>
        </w:rPr>
        <w:t>其他收入20万元</w:t>
      </w:r>
      <w:r>
        <w:rPr>
          <w:rFonts w:hint="eastAsia" w:ascii="仿宋" w:hAnsi="仿宋" w:eastAsia="仿宋"/>
          <w:bCs/>
          <w:sz w:val="28"/>
          <w:szCs w:val="28"/>
          <w:highlight w:val="none"/>
        </w:rPr>
        <w:t>。项目预算投资具体情况：</w:t>
      </w:r>
      <w:r>
        <w:rPr>
          <w:rFonts w:hint="eastAsia" w:ascii="仿宋" w:hAnsi="仿宋" w:eastAsia="仿宋"/>
          <w:bCs/>
          <w:sz w:val="28"/>
          <w:szCs w:val="28"/>
          <w:highlight w:val="none"/>
          <w:lang w:val="en-US" w:eastAsia="zh-CN"/>
        </w:rPr>
        <w:t>规费征收业务费44.85</w:t>
      </w:r>
      <w:r>
        <w:rPr>
          <w:rFonts w:hint="eastAsia" w:ascii="仿宋" w:hAnsi="仿宋" w:eastAsia="仿宋"/>
          <w:bCs/>
          <w:sz w:val="28"/>
          <w:szCs w:val="28"/>
          <w:highlight w:val="none"/>
        </w:rPr>
        <w:t>万元、</w:t>
      </w:r>
      <w:r>
        <w:rPr>
          <w:rFonts w:hint="eastAsia" w:ascii="仿宋" w:hAnsi="仿宋" w:eastAsia="仿宋"/>
          <w:bCs/>
          <w:sz w:val="28"/>
          <w:szCs w:val="28"/>
          <w:highlight w:val="none"/>
          <w:lang w:val="en-US" w:eastAsia="zh-CN"/>
        </w:rPr>
        <w:t>后勤管理服务（聘用人员经费）20</w:t>
      </w:r>
      <w:r>
        <w:rPr>
          <w:rFonts w:hint="eastAsia" w:ascii="仿宋" w:hAnsi="仿宋" w:eastAsia="仿宋"/>
          <w:bCs/>
          <w:sz w:val="28"/>
          <w:szCs w:val="28"/>
          <w:highlight w:val="none"/>
        </w:rPr>
        <w:t>万元。</w:t>
      </w:r>
    </w:p>
    <w:p>
      <w:pPr>
        <w:spacing w:line="520" w:lineRule="exact"/>
        <w:ind w:firstLine="560" w:firstLineChars="200"/>
        <w:outlineLvl w:val="0"/>
        <w:rPr>
          <w:rFonts w:ascii="黑体" w:hAnsi="黑体" w:eastAsia="黑体" w:cs="黑体"/>
          <w:b w:val="0"/>
          <w:bCs w:val="0"/>
          <w:sz w:val="28"/>
          <w:szCs w:val="28"/>
          <w:highlight w:val="none"/>
        </w:rPr>
      </w:pPr>
      <w:r>
        <w:rPr>
          <w:rFonts w:hint="eastAsia" w:ascii="仿宋" w:hAnsi="仿宋" w:eastAsia="仿宋"/>
          <w:bCs/>
          <w:sz w:val="28"/>
          <w:szCs w:val="28"/>
          <w:highlight w:val="none"/>
          <w:lang w:val="en-US" w:eastAsia="zh-CN"/>
        </w:rPr>
        <w:t xml:space="preserve"> </w:t>
      </w:r>
      <w:r>
        <w:rPr>
          <w:rFonts w:hint="eastAsia" w:ascii="黑体" w:hAnsi="黑体" w:eastAsia="黑体" w:cs="黑体"/>
          <w:b w:val="0"/>
          <w:bCs w:val="0"/>
          <w:sz w:val="28"/>
          <w:szCs w:val="28"/>
          <w:highlight w:val="none"/>
        </w:rPr>
        <w:t>二、绩效评价工作情况</w:t>
      </w:r>
      <w:bookmarkEnd w:id="2"/>
      <w:bookmarkEnd w:id="3"/>
      <w:bookmarkEnd w:id="4"/>
      <w:bookmarkEnd w:id="5"/>
    </w:p>
    <w:p>
      <w:pPr>
        <w:spacing w:line="560" w:lineRule="exact"/>
        <w:ind w:firstLine="560" w:firstLineChars="200"/>
        <w:outlineLvl w:val="1"/>
        <w:rPr>
          <w:rFonts w:ascii="仿宋" w:hAnsi="仿宋" w:eastAsia="仿宋"/>
          <w:sz w:val="28"/>
          <w:szCs w:val="28"/>
          <w:highlight w:val="none"/>
        </w:rPr>
      </w:pPr>
      <w:bookmarkStart w:id="12" w:name="_Toc19011"/>
      <w:bookmarkStart w:id="13" w:name="_Toc517708014"/>
      <w:bookmarkStart w:id="14" w:name="_Toc511502533"/>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一</w:t>
      </w:r>
      <w:r>
        <w:rPr>
          <w:rFonts w:hint="eastAsia" w:ascii="仿宋" w:hAnsi="仿宋" w:eastAsia="仿宋"/>
          <w:sz w:val="28"/>
          <w:szCs w:val="28"/>
          <w:highlight w:val="none"/>
          <w:lang w:eastAsia="zh-CN"/>
        </w:rPr>
        <w:t>）</w:t>
      </w:r>
      <w:r>
        <w:rPr>
          <w:rFonts w:hint="eastAsia" w:ascii="仿宋" w:hAnsi="仿宋" w:eastAsia="仿宋"/>
          <w:sz w:val="28"/>
          <w:szCs w:val="28"/>
          <w:highlight w:val="none"/>
        </w:rPr>
        <w:t>绩效评价目的</w:t>
      </w:r>
      <w:bookmarkEnd w:id="12"/>
      <w:bookmarkEnd w:id="13"/>
      <w:bookmarkEnd w:id="14"/>
    </w:p>
    <w:p>
      <w:pPr>
        <w:spacing w:line="52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通过绩效评价，形成真实完整、数据准确、分析透彻、逻辑清晰、客观公正的绩效评价结论，为后期强化预算绩效管理提供重要依据。通过绩效评价，从效率的角度分析，准确掌握</w:t>
      </w:r>
      <w:r>
        <w:rPr>
          <w:rFonts w:hint="eastAsia" w:ascii="仿宋" w:hAnsi="仿宋" w:eastAsia="仿宋"/>
          <w:bCs/>
          <w:sz w:val="28"/>
          <w:szCs w:val="28"/>
          <w:highlight w:val="none"/>
        </w:rPr>
        <w:t>项目</w:t>
      </w:r>
      <w:r>
        <w:rPr>
          <w:rFonts w:hint="eastAsia" w:ascii="仿宋" w:hAnsi="仿宋" w:eastAsia="仿宋"/>
          <w:sz w:val="28"/>
          <w:szCs w:val="28"/>
          <w:highlight w:val="none"/>
        </w:rPr>
        <w:t>的实施情况、资金使用情况，发现项目实施的困难和问题，总结项目实施的经验和教训，为项目实施的进一步深化提供有益帮助。</w:t>
      </w:r>
    </w:p>
    <w:p>
      <w:pPr>
        <w:spacing w:line="520" w:lineRule="exact"/>
        <w:ind w:firstLine="560" w:firstLineChars="200"/>
        <w:outlineLvl w:val="1"/>
        <w:rPr>
          <w:rFonts w:ascii="仿宋" w:hAnsi="仿宋" w:eastAsia="仿宋"/>
          <w:sz w:val="28"/>
          <w:szCs w:val="28"/>
          <w:highlight w:val="none"/>
        </w:rPr>
      </w:pPr>
      <w:bookmarkStart w:id="15" w:name="_Toc517708015"/>
      <w:bookmarkStart w:id="16" w:name="_Toc511502534"/>
      <w:bookmarkStart w:id="17" w:name="_Toc30201"/>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二</w:t>
      </w:r>
      <w:r>
        <w:rPr>
          <w:rFonts w:hint="eastAsia" w:ascii="仿宋" w:hAnsi="仿宋" w:eastAsia="仿宋"/>
          <w:sz w:val="28"/>
          <w:szCs w:val="28"/>
          <w:highlight w:val="none"/>
          <w:lang w:eastAsia="zh-CN"/>
        </w:rPr>
        <w:t>）</w:t>
      </w:r>
      <w:r>
        <w:rPr>
          <w:rFonts w:hint="eastAsia" w:ascii="仿宋" w:hAnsi="仿宋" w:eastAsia="仿宋"/>
          <w:sz w:val="28"/>
          <w:szCs w:val="28"/>
          <w:highlight w:val="none"/>
        </w:rPr>
        <w:t>绩效评价框架</w:t>
      </w:r>
      <w:bookmarkEnd w:id="15"/>
      <w:bookmarkEnd w:id="16"/>
      <w:bookmarkEnd w:id="17"/>
    </w:p>
    <w:p>
      <w:pPr>
        <w:spacing w:line="52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绩效评价框架是开展绩效评价的核心，绩效评价框架包括各级指标名称、权重、指标解释、指标说明、目标值、绩效标准和评分细则等方面。</w:t>
      </w:r>
      <w:r>
        <w:rPr>
          <w:rFonts w:hint="eastAsia" w:ascii="仿宋" w:hAnsi="仿宋" w:eastAsia="仿宋"/>
          <w:bCs/>
          <w:sz w:val="28"/>
          <w:szCs w:val="28"/>
          <w:highlight w:val="none"/>
        </w:rPr>
        <w:t>项目</w:t>
      </w:r>
      <w:r>
        <w:rPr>
          <w:rFonts w:hint="eastAsia" w:ascii="仿宋" w:hAnsi="仿宋" w:eastAsia="仿宋"/>
          <w:sz w:val="28"/>
          <w:szCs w:val="28"/>
          <w:highlight w:val="none"/>
        </w:rPr>
        <w:t>绩效评价指标体系的设计参照《湖北省财政支出绩效评价指标体系框架》，投入和过程在此框架的基础上结合项目的特点适当进行完善，产出和效果根据项目特点进行了细化。</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1.评价指标</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绩效评价将指标分为投入、过程、产出和效果四个层次，最终形成一个由多个相互联系的指标组成的多层次指标体系。</w:t>
      </w:r>
      <w:r>
        <w:rPr>
          <w:rFonts w:hint="eastAsia" w:ascii="仿宋" w:hAnsi="仿宋" w:eastAsia="仿宋"/>
          <w:sz w:val="28"/>
          <w:szCs w:val="28"/>
          <w:highlight w:val="none"/>
          <w:lang w:val="en-US"/>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AutoShape 48" o:spid="_x0000_s1026" o:spt="87" type="#_x0000_t87" style="position:absolute;left:0pt;margin-left:-267.75pt;margin-top:12pt;height:312pt;width:6pt;z-index:251659264;mso-width-relative:page;mso-height-relative:page;" filled="f" stroked="t" coordsize="21600,21600" o:gfxdata="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fbv02wAAAAwBAAAPAAAAAAAAAAEAIAAAACIAAABkcnMvZG93bnJldi54bWxQSwEC&#10;FAAUAAAACACHTuJAhwOp6/EBAAD3AwAADgAAAAAAAAABACAAAAAqAQAAZHJzL2Uyb0RvYy54bWxQ&#10;SwUGAAAAAAYABgBZAQAAjQUAAAAA&#10;" adj="1799,11150">
                <v:fill on="f" focussize="0,0"/>
                <v:stroke color="#000000" joinstyle="round"/>
                <v:imagedata o:title=""/>
                <o:lock v:ext="edit" aspectratio="f"/>
              </v:shape>
            </w:pict>
          </mc:Fallback>
        </mc:AlternateContent>
      </w:r>
      <w:r>
        <w:rPr>
          <w:rFonts w:hint="eastAsia" w:ascii="仿宋" w:hAnsi="仿宋" w:eastAsia="仿宋"/>
          <w:sz w:val="28"/>
          <w:szCs w:val="28"/>
          <w:highlight w:val="none"/>
        </w:rPr>
        <w:t>在此基础上最终形成项目绩效评价指标体系，设置了4个一级指标、11个二级指标、</w:t>
      </w:r>
      <w:r>
        <w:rPr>
          <w:rFonts w:hint="eastAsia" w:ascii="仿宋" w:hAnsi="仿宋" w:eastAsia="仿宋"/>
          <w:sz w:val="28"/>
          <w:szCs w:val="28"/>
          <w:highlight w:val="none"/>
          <w:lang w:val="en-US" w:eastAsia="zh-CN"/>
        </w:rPr>
        <w:t>21</w:t>
      </w:r>
      <w:r>
        <w:rPr>
          <w:rFonts w:hint="eastAsia" w:ascii="仿宋" w:hAnsi="仿宋" w:eastAsia="仿宋"/>
          <w:sz w:val="28"/>
          <w:szCs w:val="28"/>
          <w:highlight w:val="none"/>
        </w:rPr>
        <w:t>个三级指标。</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2.权重</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根据项目特点及各指标维度、类别考评内容，</w:t>
      </w: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确定各个指标相对于项目总体绩效的权重分值。最终确的项目投入权重为12%，项目过程权重值占28%，项目产出权重值占30%，项目效益权重值占30%。</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3.指标说明</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项目绩效评价指标体系指标说明确定了三级指标评分的要点，指出定性指标的评价核心，定量指标的指标实现值的计算公式、数据口径，说明了</w:t>
      </w:r>
      <w:r>
        <w:rPr>
          <w:rFonts w:hint="eastAsia" w:ascii="仿宋" w:hAnsi="仿宋" w:eastAsia="仿宋"/>
          <w:sz w:val="28"/>
          <w:szCs w:val="28"/>
          <w:highlight w:val="none"/>
          <w:lang w:val="en-US" w:eastAsia="zh-CN"/>
        </w:rPr>
        <w:t>21</w:t>
      </w:r>
      <w:r>
        <w:rPr>
          <w:rFonts w:hint="eastAsia" w:ascii="仿宋" w:hAnsi="仿宋" w:eastAsia="仿宋"/>
          <w:sz w:val="28"/>
          <w:szCs w:val="28"/>
          <w:highlight w:val="none"/>
        </w:rPr>
        <w:t>个三级指标设置的目的，指导三级指标评价的方向。</w:t>
      </w:r>
    </w:p>
    <w:p>
      <w:pPr>
        <w:spacing w:line="520" w:lineRule="exact"/>
        <w:ind w:firstLine="560" w:firstLineChars="200"/>
        <w:rPr>
          <w:rFonts w:hint="eastAsia" w:ascii="仿宋" w:hAnsi="仿宋" w:eastAsia="仿宋"/>
          <w:sz w:val="28"/>
          <w:szCs w:val="28"/>
          <w:highlight w:val="none"/>
        </w:rPr>
      </w:pPr>
      <w:bookmarkStart w:id="18" w:name="_1460038659"/>
      <w:bookmarkEnd w:id="18"/>
      <w:bookmarkStart w:id="19" w:name="_1460038687"/>
      <w:bookmarkEnd w:id="19"/>
      <w:bookmarkStart w:id="20" w:name="_1460038714"/>
      <w:bookmarkEnd w:id="20"/>
      <w:bookmarkStart w:id="21" w:name="_1460038655"/>
      <w:bookmarkEnd w:id="21"/>
      <w:bookmarkStart w:id="22" w:name="_1460181815"/>
      <w:bookmarkEnd w:id="22"/>
      <w:bookmarkStart w:id="23" w:name="_1460038730"/>
      <w:bookmarkEnd w:id="23"/>
      <w:r>
        <w:rPr>
          <w:rFonts w:hint="eastAsia" w:ascii="仿宋" w:hAnsi="仿宋" w:eastAsia="仿宋"/>
          <w:sz w:val="28"/>
          <w:szCs w:val="28"/>
          <w:highlight w:val="none"/>
        </w:rPr>
        <w:t>4.指标目标值</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指标目标值是绩效评价指标的尺度，既要反映同类项目的先进水平，又要符合项目的实际绩效水平。项目绩效评价指标目标值以项目计划目标确定。</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5.绩效标准</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此次绩效评价指标标准为行业标准和计划标准。项目管理和财务管理采用国家财务相关法律法规，产出和效果指标采用计划指标值作为绩效评价标准。</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6.评分细则</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项目绩效评价指标体系中三级指标评分是在指标说明评分要点的基础上进行的，定性指标对评分要点分段量化得分，定量指标按量化量直接评分</w:t>
      </w:r>
      <w:r>
        <w:rPr>
          <w:rFonts w:hint="eastAsia" w:ascii="仿宋" w:hAnsi="仿宋" w:eastAsia="仿宋"/>
          <w:sz w:val="28"/>
          <w:szCs w:val="28"/>
          <w:highlight w:val="none"/>
          <w:lang w:eastAsia="zh-CN"/>
        </w:rPr>
        <w:t>，</w:t>
      </w:r>
      <w:r>
        <w:rPr>
          <w:rFonts w:hint="eastAsia" w:ascii="仿宋" w:hAnsi="仿宋" w:eastAsia="仿宋"/>
          <w:sz w:val="28"/>
          <w:szCs w:val="28"/>
          <w:highlight w:val="none"/>
        </w:rPr>
        <w:t>在此基础上形成项目的整体得分。</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根据项目绩效评价结果级别评定相关要求，绩效评价总分值100分，根据综合评分结果，90分以上的为优秀、80-90分为良好，60-80分为中等，60分以下为差。</w:t>
      </w:r>
    </w:p>
    <w:p>
      <w:pPr>
        <w:spacing w:line="520" w:lineRule="exact"/>
        <w:ind w:firstLine="560" w:firstLineChars="200"/>
        <w:outlineLvl w:val="0"/>
        <w:rPr>
          <w:rFonts w:ascii="黑体" w:hAnsi="黑体" w:eastAsia="黑体" w:cs="黑体"/>
          <w:sz w:val="28"/>
          <w:szCs w:val="28"/>
          <w:highlight w:val="none"/>
        </w:rPr>
      </w:pPr>
      <w:bookmarkStart w:id="24" w:name="_Toc511502536"/>
      <w:bookmarkStart w:id="25" w:name="_Toc517708016"/>
      <w:bookmarkStart w:id="26" w:name="_Toc16081_WPSOffice_Level1"/>
      <w:r>
        <w:rPr>
          <w:rFonts w:hint="eastAsia" w:ascii="黑体" w:hAnsi="黑体" w:eastAsia="黑体" w:cs="黑体"/>
          <w:sz w:val="28"/>
          <w:szCs w:val="28"/>
          <w:highlight w:val="none"/>
        </w:rPr>
        <w:t>三、绩效分析及评价结论</w:t>
      </w:r>
      <w:bookmarkEnd w:id="24"/>
      <w:bookmarkEnd w:id="25"/>
      <w:bookmarkEnd w:id="26"/>
    </w:p>
    <w:p>
      <w:pPr>
        <w:spacing w:line="520" w:lineRule="exact"/>
        <w:ind w:firstLine="560" w:firstLineChars="200"/>
        <w:rPr>
          <w:rFonts w:hint="eastAsia" w:ascii="仿宋" w:hAnsi="仿宋" w:eastAsia="仿宋"/>
          <w:sz w:val="28"/>
          <w:szCs w:val="28"/>
          <w:highlight w:val="none"/>
        </w:rPr>
      </w:pPr>
      <w:bookmarkStart w:id="27" w:name="_Toc8923"/>
      <w:bookmarkStart w:id="28" w:name="_Toc517708017"/>
      <w:bookmarkStart w:id="29" w:name="_Toc511502539"/>
      <w:r>
        <w:rPr>
          <w:rFonts w:hint="eastAsia" w:ascii="仿宋" w:hAnsi="仿宋" w:eastAsia="仿宋"/>
          <w:sz w:val="28"/>
          <w:szCs w:val="28"/>
          <w:highlight w:val="none"/>
        </w:rPr>
        <w:t>（一）</w:t>
      </w:r>
      <w:bookmarkEnd w:id="27"/>
      <w:r>
        <w:rPr>
          <w:rFonts w:hint="eastAsia" w:ascii="仿宋" w:hAnsi="仿宋" w:eastAsia="仿宋"/>
          <w:sz w:val="28"/>
          <w:szCs w:val="28"/>
          <w:highlight w:val="none"/>
        </w:rPr>
        <w:t>绩效分析及绩效指标完成情况</w:t>
      </w:r>
      <w:bookmarkEnd w:id="28"/>
      <w:bookmarkEnd w:id="29"/>
    </w:p>
    <w:p>
      <w:pPr>
        <w:spacing w:line="520" w:lineRule="exact"/>
        <w:ind w:firstLine="560" w:firstLineChars="200"/>
        <w:rPr>
          <w:rFonts w:hint="eastAsia" w:ascii="仿宋" w:hAnsi="仿宋" w:eastAsia="仿宋"/>
          <w:sz w:val="28"/>
          <w:szCs w:val="28"/>
          <w:highlight w:val="none"/>
        </w:rPr>
      </w:pPr>
      <w:bookmarkStart w:id="30" w:name="_Toc517708018"/>
      <w:r>
        <w:rPr>
          <w:rFonts w:hint="eastAsia" w:ascii="仿宋" w:hAnsi="仿宋" w:eastAsia="仿宋"/>
          <w:sz w:val="28"/>
          <w:szCs w:val="28"/>
          <w:highlight w:val="none"/>
        </w:rPr>
        <w:t>1.项目投入</w:t>
      </w:r>
      <w:bookmarkEnd w:id="30"/>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本项指标总分为12分，实际得分</w:t>
      </w:r>
      <w:r>
        <w:rPr>
          <w:rFonts w:hint="eastAsia" w:ascii="仿宋" w:hAnsi="仿宋" w:eastAsia="仿宋"/>
          <w:sz w:val="28"/>
          <w:szCs w:val="28"/>
          <w:highlight w:val="none"/>
          <w:lang w:val="en-US" w:eastAsia="zh-CN"/>
        </w:rPr>
        <w:t>9</w:t>
      </w:r>
      <w:r>
        <w:rPr>
          <w:rFonts w:hint="eastAsia" w:ascii="仿宋" w:hAnsi="仿宋" w:eastAsia="仿宋"/>
          <w:sz w:val="28"/>
          <w:szCs w:val="28"/>
          <w:highlight w:val="none"/>
        </w:rPr>
        <w:t>分，得分率</w:t>
      </w:r>
      <w:r>
        <w:rPr>
          <w:rFonts w:hint="eastAsia" w:ascii="仿宋" w:hAnsi="仿宋" w:eastAsia="仿宋"/>
          <w:sz w:val="28"/>
          <w:szCs w:val="28"/>
          <w:highlight w:val="none"/>
          <w:lang w:val="en-US" w:eastAsia="zh-CN"/>
        </w:rPr>
        <w:t>75</w:t>
      </w:r>
      <w:r>
        <w:rPr>
          <w:rFonts w:hint="eastAsia" w:ascii="仿宋" w:hAnsi="仿宋" w:eastAsia="仿宋"/>
          <w:sz w:val="28"/>
          <w:szCs w:val="28"/>
          <w:highlight w:val="none"/>
        </w:rPr>
        <w:t>%，项目投入具体评价如下：</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（1）依据充分性</w:t>
      </w:r>
    </w:p>
    <w:p>
      <w:pPr>
        <w:spacing w:line="52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2017年</w:t>
      </w:r>
      <w:r>
        <w:rPr>
          <w:rFonts w:hint="eastAsia" w:ascii="仿宋" w:hAnsi="仿宋" w:eastAsia="仿宋"/>
          <w:sz w:val="28"/>
          <w:szCs w:val="28"/>
          <w:highlight w:val="none"/>
          <w:lang w:eastAsia="zh-CN"/>
        </w:rPr>
        <w:t>武汉市水务规费征收管理处</w:t>
      </w:r>
      <w:r>
        <w:rPr>
          <w:rFonts w:hint="eastAsia" w:ascii="仿宋" w:hAnsi="仿宋" w:eastAsia="仿宋"/>
          <w:sz w:val="28"/>
          <w:szCs w:val="28"/>
          <w:highlight w:val="none"/>
        </w:rPr>
        <w:t>项目立项依据充分，立项申请</w:t>
      </w:r>
      <w:r>
        <w:rPr>
          <w:rFonts w:hint="eastAsia" w:ascii="仿宋" w:hAnsi="仿宋" w:eastAsia="仿宋"/>
          <w:sz w:val="28"/>
          <w:szCs w:val="28"/>
          <w:highlight w:val="none"/>
          <w:lang w:val="en-US" w:eastAsia="zh-CN"/>
        </w:rPr>
        <w:t>理</w:t>
      </w:r>
      <w:r>
        <w:rPr>
          <w:rFonts w:hint="eastAsia" w:ascii="仿宋" w:hAnsi="仿宋" w:eastAsia="仿宋"/>
          <w:sz w:val="28"/>
          <w:szCs w:val="28"/>
          <w:highlight w:val="none"/>
        </w:rPr>
        <w:t>由符合规定，项目申报的主要内容完整，但</w:t>
      </w:r>
      <w:r>
        <w:rPr>
          <w:rFonts w:hint="eastAsia" w:ascii="仿宋" w:hAnsi="仿宋" w:eastAsia="仿宋"/>
          <w:sz w:val="28"/>
          <w:szCs w:val="28"/>
          <w:highlight w:val="none"/>
          <w:lang w:val="en-US" w:eastAsia="zh-CN"/>
        </w:rPr>
        <w:t>无项目支出明细和</w:t>
      </w:r>
      <w:r>
        <w:rPr>
          <w:rFonts w:hint="eastAsia" w:ascii="仿宋" w:hAnsi="仿宋" w:eastAsia="仿宋"/>
          <w:sz w:val="28"/>
          <w:szCs w:val="28"/>
          <w:highlight w:val="none"/>
        </w:rPr>
        <w:t>测算依据及说明</w:t>
      </w:r>
      <w:r>
        <w:rPr>
          <w:rFonts w:hint="eastAsia" w:ascii="仿宋" w:hAnsi="仿宋" w:eastAsia="仿宋"/>
          <w:sz w:val="28"/>
          <w:szCs w:val="28"/>
          <w:highlight w:val="none"/>
          <w:lang w:eastAsia="zh-CN"/>
        </w:rPr>
        <w:t>，</w:t>
      </w:r>
      <w:r>
        <w:rPr>
          <w:rFonts w:hint="eastAsia" w:ascii="仿宋" w:hAnsi="仿宋" w:eastAsia="仿宋"/>
          <w:sz w:val="28"/>
          <w:szCs w:val="28"/>
          <w:highlight w:val="none"/>
        </w:rPr>
        <w:t>未对项目支出内容进行细化测算。</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2</w:t>
      </w:r>
      <w:r>
        <w:rPr>
          <w:rFonts w:hint="eastAsia" w:ascii="仿宋" w:hAnsi="仿宋" w:eastAsia="仿宋"/>
          <w:sz w:val="28"/>
          <w:szCs w:val="28"/>
          <w:highlight w:val="none"/>
          <w:lang w:eastAsia="zh-CN"/>
        </w:rPr>
        <w:t>）目标合理性</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eastAsia="zh-CN"/>
        </w:rPr>
        <w:t>项目的实施</w:t>
      </w:r>
      <w:r>
        <w:rPr>
          <w:rFonts w:hint="eastAsia" w:ascii="仿宋" w:hAnsi="仿宋" w:eastAsia="仿宋"/>
          <w:sz w:val="28"/>
          <w:szCs w:val="28"/>
          <w:highlight w:val="none"/>
          <w:lang w:val="en-US" w:eastAsia="zh-CN"/>
        </w:rPr>
        <w:t>确保了</w:t>
      </w:r>
      <w:r>
        <w:rPr>
          <w:rFonts w:hint="eastAsia" w:ascii="仿宋" w:hAnsi="仿宋" w:eastAsia="仿宋"/>
          <w:sz w:val="28"/>
          <w:szCs w:val="28"/>
          <w:highlight w:val="none"/>
          <w:lang w:eastAsia="zh-CN"/>
        </w:rPr>
        <w:t>武汉市水务规费征收管理处</w:t>
      </w:r>
      <w:r>
        <w:rPr>
          <w:rFonts w:hint="eastAsia" w:ascii="仿宋" w:hAnsi="仿宋" w:eastAsia="仿宋"/>
          <w:sz w:val="28"/>
          <w:szCs w:val="28"/>
          <w:highlight w:val="none"/>
          <w:lang w:val="en-US" w:eastAsia="zh-CN"/>
        </w:rPr>
        <w:t>完成了2017年度市级水土保持费及水资源费征收的工作，</w:t>
      </w:r>
      <w:r>
        <w:rPr>
          <w:rFonts w:hint="eastAsia" w:ascii="仿宋" w:hAnsi="仿宋" w:eastAsia="仿宋"/>
          <w:sz w:val="28"/>
          <w:szCs w:val="28"/>
          <w:highlight w:val="none"/>
          <w:lang w:eastAsia="zh-CN"/>
        </w:rPr>
        <w:t>绩效目标符合国家相关法律法规，与项目实施单位职责密切相关。</w:t>
      </w:r>
      <w:r>
        <w:rPr>
          <w:rFonts w:hint="eastAsia" w:ascii="仿宋" w:hAnsi="仿宋" w:eastAsia="仿宋"/>
          <w:sz w:val="28"/>
          <w:szCs w:val="28"/>
          <w:highlight w:val="none"/>
          <w:lang w:val="en-US" w:eastAsia="zh-CN"/>
        </w:rPr>
        <w:t xml:space="preserve"> </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（3）指标明确性</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项目设立了</w:t>
      </w:r>
      <w:r>
        <w:rPr>
          <w:rFonts w:hint="eastAsia" w:ascii="仿宋" w:hAnsi="仿宋" w:eastAsia="仿宋"/>
          <w:sz w:val="28"/>
          <w:szCs w:val="28"/>
          <w:highlight w:val="none"/>
          <w:lang w:val="en-US" w:eastAsia="zh-CN"/>
        </w:rPr>
        <w:t>年度绩效目标：市级水土保持费100万元，水资源费120万元，市级招投标管理100%全覆盖。</w:t>
      </w:r>
      <w:r>
        <w:rPr>
          <w:rFonts w:hint="eastAsia" w:ascii="仿宋" w:hAnsi="仿宋" w:eastAsia="仿宋"/>
          <w:sz w:val="28"/>
          <w:szCs w:val="28"/>
          <w:highlight w:val="none"/>
          <w:lang w:eastAsia="zh-CN"/>
        </w:rPr>
        <w:t>但编制项目年度绩效指标时，</w:t>
      </w:r>
      <w:r>
        <w:rPr>
          <w:rFonts w:hint="eastAsia" w:ascii="仿宋" w:hAnsi="仿宋" w:eastAsia="仿宋"/>
          <w:sz w:val="28"/>
          <w:szCs w:val="28"/>
          <w:highlight w:val="none"/>
          <w:lang w:val="en-US" w:eastAsia="zh-CN"/>
        </w:rPr>
        <w:t>无法</w:t>
      </w:r>
      <w:r>
        <w:rPr>
          <w:rFonts w:hint="eastAsia" w:ascii="仿宋" w:hAnsi="仿宋" w:eastAsia="仿宋"/>
          <w:sz w:val="28"/>
          <w:szCs w:val="28"/>
          <w:highlight w:val="none"/>
          <w:lang w:eastAsia="zh-CN"/>
        </w:rPr>
        <w:t>通过清晰、可衡量的指标值予以体现，</w:t>
      </w:r>
      <w:r>
        <w:rPr>
          <w:rFonts w:hint="eastAsia" w:ascii="仿宋" w:hAnsi="仿宋" w:eastAsia="仿宋"/>
          <w:sz w:val="28"/>
          <w:szCs w:val="28"/>
          <w:highlight w:val="none"/>
          <w:lang w:val="en-US" w:eastAsia="zh-CN"/>
        </w:rPr>
        <w:t>无法</w:t>
      </w:r>
      <w:r>
        <w:rPr>
          <w:rFonts w:hint="eastAsia" w:ascii="仿宋" w:hAnsi="仿宋" w:eastAsia="仿宋"/>
          <w:sz w:val="28"/>
          <w:szCs w:val="28"/>
          <w:highlight w:val="none"/>
          <w:lang w:eastAsia="zh-CN"/>
        </w:rPr>
        <w:t>与项目年度任务数或计划数相对应。</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（4）资金执行率</w:t>
      </w:r>
    </w:p>
    <w:p>
      <w:pPr>
        <w:spacing w:line="520" w:lineRule="exact"/>
        <w:ind w:firstLine="560" w:firstLineChars="200"/>
        <w:rPr>
          <w:rFonts w:hint="eastAsia" w:ascii="仿宋" w:hAnsi="仿宋" w:eastAsia="仿宋"/>
          <w:sz w:val="28"/>
          <w:szCs w:val="28"/>
          <w:highlight w:val="none"/>
          <w:lang w:eastAsia="zh-CN"/>
        </w:rPr>
      </w:pPr>
      <w:bookmarkStart w:id="31" w:name="_Toc517708019"/>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lang w:eastAsia="zh-CN"/>
        </w:rPr>
        <w:t>2017年项目支出预算</w:t>
      </w:r>
      <w:r>
        <w:rPr>
          <w:rFonts w:hint="eastAsia" w:ascii="仿宋" w:hAnsi="仿宋" w:eastAsia="仿宋"/>
          <w:sz w:val="28"/>
          <w:szCs w:val="28"/>
          <w:highlight w:val="none"/>
          <w:lang w:val="en-US" w:eastAsia="zh-CN"/>
        </w:rPr>
        <w:t>64.85</w:t>
      </w:r>
      <w:r>
        <w:rPr>
          <w:rFonts w:hint="eastAsia" w:ascii="仿宋" w:hAnsi="仿宋" w:eastAsia="仿宋"/>
          <w:sz w:val="28"/>
          <w:szCs w:val="28"/>
          <w:highlight w:val="none"/>
          <w:lang w:eastAsia="zh-CN"/>
        </w:rPr>
        <w:t>万元，同口径预算实际支出</w:t>
      </w:r>
      <w:r>
        <w:rPr>
          <w:rFonts w:hint="eastAsia" w:ascii="仿宋" w:hAnsi="仿宋" w:eastAsia="仿宋"/>
          <w:sz w:val="28"/>
          <w:szCs w:val="28"/>
          <w:highlight w:val="none"/>
          <w:lang w:val="en-US" w:eastAsia="zh-CN"/>
        </w:rPr>
        <w:t>68.51</w:t>
      </w:r>
      <w:r>
        <w:rPr>
          <w:rFonts w:hint="eastAsia" w:ascii="仿宋" w:hAnsi="仿宋" w:eastAsia="仿宋"/>
          <w:sz w:val="28"/>
          <w:szCs w:val="28"/>
          <w:highlight w:val="none"/>
          <w:lang w:eastAsia="zh-CN"/>
        </w:rPr>
        <w:t>万元，项目预算执行率为</w:t>
      </w:r>
      <w:r>
        <w:rPr>
          <w:rFonts w:hint="eastAsia" w:ascii="仿宋" w:hAnsi="仿宋" w:eastAsia="仿宋"/>
          <w:sz w:val="28"/>
          <w:szCs w:val="28"/>
          <w:highlight w:val="none"/>
          <w:lang w:val="en-US" w:eastAsia="zh-CN"/>
        </w:rPr>
        <w:t>105.64</w:t>
      </w:r>
      <w:r>
        <w:rPr>
          <w:rFonts w:hint="eastAsia" w:ascii="仿宋" w:hAnsi="仿宋" w:eastAsia="仿宋"/>
          <w:sz w:val="28"/>
          <w:szCs w:val="28"/>
          <w:highlight w:val="none"/>
          <w:lang w:eastAsia="zh-CN"/>
        </w:rPr>
        <w:t>%，具体情况如下表：</w:t>
      </w:r>
    </w:p>
    <w:tbl>
      <w:tblPr>
        <w:tblStyle w:val="12"/>
        <w:tblW w:w="82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32"/>
        <w:gridCol w:w="2463"/>
        <w:gridCol w:w="1695"/>
        <w:gridCol w:w="1455"/>
        <w:gridCol w:w="16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75"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序号</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项目名称</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预算数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执行数</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1</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规费征收业务费</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44.85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48.51</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108.16%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2</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后勤管理服务</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jc w:val="both"/>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20.00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20.00</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lang w:val="en-US" w:eastAsia="zh-CN"/>
              </w:rPr>
            </w:pPr>
            <w:r>
              <w:rPr>
                <w:rFonts w:hint="eastAsia" w:ascii="仿宋" w:hAnsi="仿宋" w:eastAsia="仿宋"/>
                <w:bCs/>
                <w:sz w:val="24"/>
                <w:szCs w:val="24"/>
                <w:highlight w:val="none"/>
                <w:lang w:val="en-US" w:eastAsia="zh-CN"/>
              </w:rPr>
              <w:t>3</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合计</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ind w:firstLine="480" w:firstLineChars="200"/>
              <w:jc w:val="both"/>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64.85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68.51</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20" w:lineRule="exact"/>
              <w:jc w:val="center"/>
              <w:rPr>
                <w:rFonts w:hint="eastAsia" w:ascii="仿宋" w:hAnsi="仿宋" w:eastAsia="仿宋"/>
                <w:bCs/>
                <w:sz w:val="24"/>
                <w:szCs w:val="24"/>
                <w:highlight w:val="none"/>
              </w:rPr>
            </w:pPr>
            <w:r>
              <w:rPr>
                <w:rFonts w:hint="eastAsia" w:ascii="仿宋" w:hAnsi="仿宋" w:eastAsia="仿宋"/>
                <w:bCs/>
                <w:sz w:val="24"/>
                <w:szCs w:val="24"/>
                <w:highlight w:val="none"/>
                <w:lang w:val="en-US" w:eastAsia="zh-CN"/>
              </w:rPr>
              <w:t>105.64%</w:t>
            </w:r>
          </w:p>
        </w:tc>
      </w:tr>
    </w:tbl>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2.项目过程</w:t>
      </w:r>
      <w:bookmarkEnd w:id="31"/>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项目资金使用按照计划执行，符合国家财经法规和财务管理制度以及有关专项资管理办法的规定。项目资金拨付与使用有完整的审批流程和手续，账簿齐全，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 项目单位基本建设管理程序落实到位。本项指标总分为28分，实际得2</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lang w:eastAsia="zh-CN"/>
        </w:rPr>
        <w:t>分，得分率</w:t>
      </w:r>
      <w:r>
        <w:rPr>
          <w:rFonts w:hint="eastAsia" w:ascii="仿宋" w:hAnsi="仿宋" w:eastAsia="仿宋"/>
          <w:sz w:val="28"/>
          <w:szCs w:val="28"/>
          <w:highlight w:val="none"/>
          <w:lang w:val="en-US" w:eastAsia="zh-CN"/>
        </w:rPr>
        <w:t>85.71</w:t>
      </w:r>
      <w:r>
        <w:rPr>
          <w:rFonts w:hint="eastAsia" w:ascii="仿宋" w:hAnsi="仿宋" w:eastAsia="仿宋"/>
          <w:sz w:val="28"/>
          <w:szCs w:val="28"/>
          <w:highlight w:val="none"/>
          <w:lang w:eastAsia="zh-CN"/>
        </w:rPr>
        <w:t>%,项目过程具体评价如下：</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（1）财务管理制度健全性</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为了规范和加强项目的财务管理，严格执行项目资金计划，根据《中华人民共和国会计法》、《行政单位会计准则》和《行政单位会计制度》等法律、法规，武汉市水务规费征收管理处印发了制定和印发了《武汉市水务规费征收管理处财务管理</w:t>
      </w:r>
      <w:r>
        <w:rPr>
          <w:rFonts w:hint="eastAsia" w:ascii="仿宋" w:hAnsi="仿宋" w:eastAsia="仿宋"/>
          <w:sz w:val="28"/>
          <w:szCs w:val="28"/>
          <w:highlight w:val="none"/>
          <w:lang w:val="en-US" w:eastAsia="zh-CN"/>
        </w:rPr>
        <w:t>制度</w:t>
      </w:r>
      <w:r>
        <w:rPr>
          <w:rFonts w:hint="eastAsia" w:ascii="仿宋" w:hAnsi="仿宋" w:eastAsia="仿宋"/>
          <w:sz w:val="28"/>
          <w:szCs w:val="28"/>
          <w:highlight w:val="none"/>
          <w:lang w:eastAsia="zh-CN"/>
        </w:rPr>
        <w:t>》、《武汉市水务规费征收管理处三公经费管理制度》、《武汉市水务规费征收管理处会议管理制度》等系列管理制度，财务管理制度健全，建立严格的财务报销制度和严格印鉴管理机制。</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（2）资金使用合规性</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eastAsia="zh-CN"/>
        </w:rPr>
        <w:t>项目</w:t>
      </w:r>
      <w:r>
        <w:rPr>
          <w:rFonts w:hint="eastAsia" w:ascii="仿宋" w:hAnsi="仿宋" w:eastAsia="仿宋"/>
          <w:sz w:val="28"/>
          <w:szCs w:val="28"/>
          <w:highlight w:val="none"/>
          <w:lang w:val="en-US" w:eastAsia="zh-CN"/>
        </w:rPr>
        <w:t>资金的使用</w:t>
      </w:r>
      <w:r>
        <w:rPr>
          <w:rFonts w:hint="eastAsia" w:ascii="仿宋" w:hAnsi="仿宋" w:eastAsia="仿宋"/>
          <w:sz w:val="28"/>
          <w:szCs w:val="28"/>
          <w:highlight w:val="none"/>
          <w:lang w:eastAsia="zh-CN"/>
        </w:rPr>
        <w:t>符合《中华人民共和国会计法》、《中华人民共和国预算法》和《行政单位会计制度》的规定；资金的拨付有基本的审批程序和手续；不存在超标列支相关费用；</w:t>
      </w:r>
      <w:r>
        <w:rPr>
          <w:rFonts w:hint="eastAsia" w:ascii="仿宋" w:hAnsi="仿宋" w:eastAsia="仿宋"/>
          <w:sz w:val="28"/>
          <w:szCs w:val="28"/>
          <w:highlight w:val="none"/>
          <w:lang w:val="en-US" w:eastAsia="zh-CN"/>
        </w:rPr>
        <w:t xml:space="preserve">发票合法合规。 </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（3）资金单独核算</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lang w:eastAsia="zh-CN"/>
        </w:rPr>
        <w:t>项目资金的会计核算严格执行了《中华人民共和国会计法》、《事业单位会计准则》及《事业单位单位会计制度》管理规定，按要求设置会计科目，建立账目</w:t>
      </w:r>
      <w:r>
        <w:rPr>
          <w:rFonts w:hint="eastAsia" w:ascii="仿宋" w:hAnsi="仿宋" w:eastAsia="仿宋"/>
          <w:sz w:val="28"/>
          <w:szCs w:val="28"/>
          <w:highlight w:val="none"/>
          <w:lang w:val="en-US" w:eastAsia="zh-CN"/>
        </w:rPr>
        <w:t xml:space="preserve"> 。</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（4）财务信息质量</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eastAsia="zh-CN"/>
        </w:rPr>
        <w:t>预算执行和财务管理比较规范，会计资料真实，会计处理和决算报告编制符合预算法、相关会计准则和会计制度的规定。资金通过财政直接直付、授权支付或其它方式进行结算。资金拨付使用严格按照程序执行，经办人提出申请，并注明用款理由和相关支出附件，经</w:t>
      </w:r>
      <w:r>
        <w:rPr>
          <w:rFonts w:hint="eastAsia" w:ascii="仿宋" w:hAnsi="仿宋" w:eastAsia="仿宋"/>
          <w:sz w:val="28"/>
          <w:szCs w:val="28"/>
          <w:highlight w:val="none"/>
          <w:lang w:val="en-US" w:eastAsia="zh-CN"/>
        </w:rPr>
        <w:t>综合室审核，由站</w:t>
      </w:r>
      <w:r>
        <w:rPr>
          <w:rFonts w:hint="eastAsia" w:ascii="仿宋" w:hAnsi="仿宋" w:eastAsia="仿宋"/>
          <w:sz w:val="28"/>
          <w:szCs w:val="28"/>
          <w:highlight w:val="none"/>
          <w:lang w:eastAsia="zh-CN"/>
        </w:rPr>
        <w:t>领导</w:t>
      </w:r>
      <w:r>
        <w:rPr>
          <w:rFonts w:hint="eastAsia" w:ascii="仿宋" w:hAnsi="仿宋" w:eastAsia="仿宋"/>
          <w:sz w:val="28"/>
          <w:szCs w:val="28"/>
          <w:highlight w:val="none"/>
          <w:lang w:val="en-US" w:eastAsia="zh-CN"/>
        </w:rPr>
        <w:t>审批</w:t>
      </w:r>
      <w:r>
        <w:rPr>
          <w:rFonts w:hint="eastAsia" w:ascii="仿宋" w:hAnsi="仿宋" w:eastAsia="仿宋"/>
          <w:sz w:val="28"/>
          <w:szCs w:val="28"/>
          <w:highlight w:val="none"/>
          <w:lang w:eastAsia="zh-CN"/>
        </w:rPr>
        <w:t>后通过财政直接支付或授权支付，以保证财政资金使用的安全。单位系统内部有比较完整的财务管理规定和制度，主管人员熟悉相关预算资金管理的法规，账簿及原始凭证齐全，账实相符，手续齐备，会计账务保存完整</w:t>
      </w:r>
      <w:r>
        <w:rPr>
          <w:rFonts w:hint="eastAsia" w:ascii="仿宋" w:hAnsi="仿宋" w:eastAsia="仿宋"/>
          <w:sz w:val="28"/>
          <w:szCs w:val="28"/>
          <w:highlight w:val="none"/>
          <w:lang w:val="en-US" w:eastAsia="zh-CN"/>
        </w:rPr>
        <w:t>。</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（5）项目组织实施</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按照《中华人民共和国水土保护法》、《取水许可和水资源管理条例》、《湖北省水土保持补偿费征收使用管理实施办法》等法律法规的要求，严格执法，认真完成市级水土保持补偿费和市级水资源费的征收任务。</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6</w:t>
      </w:r>
      <w:r>
        <w:rPr>
          <w:rFonts w:hint="eastAsia" w:ascii="仿宋" w:hAnsi="仿宋" w:eastAsia="仿宋"/>
          <w:sz w:val="28"/>
          <w:szCs w:val="28"/>
          <w:highlight w:val="none"/>
          <w:lang w:eastAsia="zh-CN"/>
        </w:rPr>
        <w:t>）基本建设程序管理</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严格按照《湖北省水土保持补偿费征收使用管理实施办法》的规定，由省、市、县级水行政主管部门审批的水土保持方案，水土保持补偿费由生产建设项目所在地的县级征收部门负责核定征收，市水务局和规费处只对各区水务局（水行政主管部门）水土保持补偿费征收使用管理情况进行监督指导。2017年参加市局组织的水土保持方案审查会议56次，水土保持专项执法大检查18次。进一步明确了市、区职能，要求各区水务局应加强水土保持补偿费的征收工作，做到应收尽收。在日常工作中严格征收执法，认真完成水资源费征收工作任务。主动热情上门服务于企业，与取用水单位关系融洽，都能积极按时按量足额缴纳水资源费。</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（7）项目工程质量管理</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 xml:space="preserve"> 2017年所有费收工作均按照“应征不免，应免不征”要求完成，没有发生违反法规现象。</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（8）项目档案管理</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eastAsia="zh-CN"/>
        </w:rPr>
        <w:t>单位有完善的项目档案管理制度，严格执行档案管理要求，注重对原始资料在实施过程的收集和整理，分门别类组卷，档案资料做到真实、齐全、有效，</w:t>
      </w:r>
      <w:r>
        <w:rPr>
          <w:rFonts w:hint="eastAsia" w:ascii="仿宋" w:hAnsi="仿宋" w:eastAsia="仿宋"/>
          <w:sz w:val="28"/>
          <w:szCs w:val="28"/>
          <w:highlight w:val="none"/>
          <w:lang w:val="en-US" w:eastAsia="zh-CN"/>
        </w:rPr>
        <w:t>并</w:t>
      </w:r>
      <w:r>
        <w:rPr>
          <w:rFonts w:hint="eastAsia" w:ascii="仿宋" w:hAnsi="仿宋" w:eastAsia="仿宋"/>
          <w:sz w:val="28"/>
          <w:szCs w:val="28"/>
          <w:highlight w:val="none"/>
          <w:lang w:eastAsia="zh-CN"/>
        </w:rPr>
        <w:t>及时归档</w:t>
      </w:r>
      <w:r>
        <w:rPr>
          <w:rFonts w:hint="eastAsia" w:ascii="仿宋" w:hAnsi="仿宋" w:eastAsia="仿宋"/>
          <w:sz w:val="28"/>
          <w:szCs w:val="28"/>
          <w:highlight w:val="none"/>
          <w:lang w:val="en-US" w:eastAsia="zh-CN"/>
        </w:rPr>
        <w:t>。</w:t>
      </w:r>
    </w:p>
    <w:p>
      <w:pPr>
        <w:spacing w:line="520" w:lineRule="exact"/>
        <w:ind w:firstLine="560" w:firstLineChars="200"/>
        <w:rPr>
          <w:rFonts w:hint="eastAsia" w:ascii="仿宋" w:hAnsi="仿宋" w:eastAsia="仿宋"/>
          <w:sz w:val="28"/>
          <w:szCs w:val="28"/>
          <w:highlight w:val="none"/>
          <w:lang w:eastAsia="zh-CN"/>
        </w:rPr>
      </w:pPr>
      <w:bookmarkStart w:id="32" w:name="_Toc517708020"/>
      <w:r>
        <w:rPr>
          <w:rFonts w:hint="eastAsia" w:ascii="仿宋" w:hAnsi="仿宋" w:eastAsia="仿宋"/>
          <w:sz w:val="28"/>
          <w:szCs w:val="28"/>
          <w:highlight w:val="none"/>
          <w:lang w:eastAsia="zh-CN"/>
        </w:rPr>
        <w:t>3.项目产出</w:t>
      </w:r>
      <w:bookmarkEnd w:id="32"/>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项目产出良好，项目在预定时间内及时实施完成，</w:t>
      </w:r>
      <w:r>
        <w:rPr>
          <w:rFonts w:hint="eastAsia" w:ascii="仿宋" w:hAnsi="仿宋" w:eastAsia="仿宋"/>
          <w:sz w:val="28"/>
          <w:szCs w:val="28"/>
          <w:highlight w:val="none"/>
          <w:lang w:val="en-US" w:eastAsia="zh-CN"/>
        </w:rPr>
        <w:t>数量指标和</w:t>
      </w:r>
      <w:r>
        <w:rPr>
          <w:rFonts w:hint="eastAsia" w:ascii="仿宋" w:hAnsi="仿宋" w:eastAsia="仿宋"/>
          <w:sz w:val="28"/>
          <w:szCs w:val="28"/>
          <w:highlight w:val="none"/>
          <w:lang w:eastAsia="zh-CN"/>
        </w:rPr>
        <w:t>质量</w:t>
      </w:r>
      <w:r>
        <w:rPr>
          <w:rFonts w:hint="eastAsia" w:ascii="仿宋" w:hAnsi="仿宋" w:eastAsia="仿宋"/>
          <w:sz w:val="28"/>
          <w:szCs w:val="28"/>
          <w:highlight w:val="none"/>
          <w:lang w:val="en-US" w:eastAsia="zh-CN"/>
        </w:rPr>
        <w:t>指标</w:t>
      </w:r>
      <w:r>
        <w:rPr>
          <w:rFonts w:hint="eastAsia" w:ascii="仿宋" w:hAnsi="仿宋" w:eastAsia="仿宋"/>
          <w:sz w:val="28"/>
          <w:szCs w:val="28"/>
          <w:highlight w:val="none"/>
          <w:lang w:eastAsia="zh-CN"/>
        </w:rPr>
        <w:t>达到预期。本项指标总分为30分，实际得分达到</w:t>
      </w:r>
      <w:r>
        <w:rPr>
          <w:rFonts w:hint="eastAsia" w:ascii="仿宋" w:hAnsi="仿宋" w:eastAsia="仿宋"/>
          <w:sz w:val="28"/>
          <w:szCs w:val="28"/>
          <w:highlight w:val="none"/>
          <w:lang w:val="en-US" w:eastAsia="zh-CN"/>
        </w:rPr>
        <w:t>30</w:t>
      </w:r>
      <w:r>
        <w:rPr>
          <w:rFonts w:hint="eastAsia" w:ascii="仿宋" w:hAnsi="仿宋" w:eastAsia="仿宋"/>
          <w:sz w:val="28"/>
          <w:szCs w:val="28"/>
          <w:highlight w:val="none"/>
          <w:lang w:eastAsia="zh-CN"/>
        </w:rPr>
        <w:t>分，得分率</w:t>
      </w:r>
      <w:r>
        <w:rPr>
          <w:rFonts w:hint="eastAsia" w:ascii="仿宋" w:hAnsi="仿宋" w:eastAsia="仿宋"/>
          <w:sz w:val="28"/>
          <w:szCs w:val="28"/>
          <w:highlight w:val="none"/>
          <w:lang w:val="en-US" w:eastAsia="zh-CN"/>
        </w:rPr>
        <w:t>100</w:t>
      </w:r>
      <w:r>
        <w:rPr>
          <w:rFonts w:hint="eastAsia" w:ascii="仿宋" w:hAnsi="仿宋" w:eastAsia="仿宋"/>
          <w:sz w:val="28"/>
          <w:szCs w:val="28"/>
          <w:highlight w:val="none"/>
          <w:lang w:eastAsia="zh-CN"/>
        </w:rPr>
        <w:t>%,项目产出具体评价如下：</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lang w:eastAsia="zh-CN"/>
        </w:rPr>
        <w:t>）市级水土保持补偿费征收额</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sz w:val="28"/>
          <w:szCs w:val="28"/>
          <w:highlight w:val="none"/>
          <w:lang w:val="en-US" w:eastAsia="zh-CN"/>
        </w:rPr>
        <w:t xml:space="preserve"> 2017年度计划征收</w:t>
      </w:r>
      <w:r>
        <w:rPr>
          <w:rFonts w:hint="eastAsia" w:ascii="仿宋" w:hAnsi="仿宋" w:eastAsia="仿宋"/>
          <w:sz w:val="28"/>
          <w:szCs w:val="28"/>
          <w:highlight w:val="none"/>
          <w:lang w:eastAsia="zh-CN"/>
        </w:rPr>
        <w:t>市级水土保持补偿费</w:t>
      </w:r>
      <w:r>
        <w:rPr>
          <w:rFonts w:hint="eastAsia" w:ascii="仿宋" w:hAnsi="仿宋" w:eastAsia="仿宋"/>
          <w:sz w:val="28"/>
          <w:szCs w:val="28"/>
          <w:highlight w:val="none"/>
          <w:lang w:val="en-US" w:eastAsia="zh-CN"/>
        </w:rPr>
        <w:t>100万元，实际征收入库273万元，超额</w:t>
      </w:r>
      <w:r>
        <w:rPr>
          <w:rFonts w:hint="eastAsia" w:ascii="仿宋" w:hAnsi="仿宋" w:eastAsia="仿宋"/>
          <w:bCs/>
          <w:sz w:val="28"/>
          <w:szCs w:val="28"/>
          <w:highlight w:val="none"/>
          <w:lang w:val="en-US" w:eastAsia="zh-CN"/>
        </w:rPr>
        <w:t>完成年度目标。</w:t>
      </w:r>
    </w:p>
    <w:p>
      <w:pPr>
        <w:numPr>
          <w:ilvl w:val="0"/>
          <w:numId w:val="0"/>
        </w:numPr>
        <w:spacing w:line="520" w:lineRule="exact"/>
        <w:ind w:firstLine="560" w:firstLineChars="200"/>
        <w:rPr>
          <w:rFonts w:hint="eastAsia" w:ascii="仿宋" w:hAnsi="仿宋" w:eastAsia="仿宋"/>
          <w:bCs/>
          <w:sz w:val="28"/>
          <w:szCs w:val="28"/>
          <w:highlight w:val="none"/>
        </w:rPr>
      </w:pPr>
      <w:r>
        <w:rPr>
          <w:rFonts w:hint="eastAsia" w:ascii="仿宋" w:hAnsi="仿宋" w:eastAsia="仿宋"/>
          <w:bCs/>
          <w:sz w:val="28"/>
          <w:szCs w:val="28"/>
          <w:highlight w:val="none"/>
          <w:lang w:eastAsia="zh-CN"/>
        </w:rPr>
        <w:t>（</w:t>
      </w:r>
      <w:r>
        <w:rPr>
          <w:rFonts w:hint="eastAsia" w:ascii="仿宋" w:hAnsi="仿宋" w:eastAsia="仿宋"/>
          <w:bCs/>
          <w:sz w:val="28"/>
          <w:szCs w:val="28"/>
          <w:highlight w:val="none"/>
          <w:lang w:val="en-US" w:eastAsia="zh-CN"/>
        </w:rPr>
        <w:t>2</w:t>
      </w:r>
      <w:r>
        <w:rPr>
          <w:rFonts w:hint="eastAsia" w:ascii="仿宋" w:hAnsi="仿宋" w:eastAsia="仿宋"/>
          <w:bCs/>
          <w:sz w:val="28"/>
          <w:szCs w:val="28"/>
          <w:highlight w:val="none"/>
          <w:lang w:eastAsia="zh-CN"/>
        </w:rPr>
        <w:t>）</w:t>
      </w:r>
      <w:r>
        <w:rPr>
          <w:rFonts w:hint="eastAsia" w:ascii="仿宋" w:hAnsi="仿宋" w:eastAsia="仿宋"/>
          <w:bCs/>
          <w:sz w:val="28"/>
          <w:szCs w:val="28"/>
          <w:highlight w:val="none"/>
        </w:rPr>
        <w:t>市级水资源费征收额</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 xml:space="preserve"> 2017年度年度计划征收</w:t>
      </w:r>
      <w:r>
        <w:rPr>
          <w:rFonts w:hint="eastAsia" w:ascii="仿宋" w:hAnsi="仿宋" w:eastAsia="仿宋"/>
          <w:bCs/>
          <w:sz w:val="28"/>
          <w:szCs w:val="28"/>
          <w:highlight w:val="none"/>
        </w:rPr>
        <w:t>市级水资源费</w:t>
      </w:r>
      <w:r>
        <w:rPr>
          <w:rFonts w:hint="eastAsia" w:ascii="仿宋" w:hAnsi="仿宋" w:eastAsia="仿宋"/>
          <w:bCs/>
          <w:sz w:val="28"/>
          <w:szCs w:val="28"/>
          <w:highlight w:val="none"/>
          <w:lang w:val="en-US" w:eastAsia="zh-CN"/>
        </w:rPr>
        <w:t>120万元，实际征收入库180万元，超额完成年度目标。</w:t>
      </w:r>
    </w:p>
    <w:p>
      <w:pPr>
        <w:spacing w:line="52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lang w:eastAsia="zh-CN"/>
        </w:rPr>
        <w:t>）征收率</w:t>
      </w:r>
    </w:p>
    <w:p>
      <w:pPr>
        <w:spacing w:line="520" w:lineRule="exact"/>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 xml:space="preserve"> 超额完成2017年度</w:t>
      </w:r>
      <w:r>
        <w:rPr>
          <w:rFonts w:hint="eastAsia" w:ascii="仿宋" w:hAnsi="仿宋" w:eastAsia="仿宋"/>
          <w:sz w:val="28"/>
          <w:szCs w:val="28"/>
          <w:highlight w:val="none"/>
          <w:lang w:eastAsia="zh-CN"/>
        </w:rPr>
        <w:t>市级水土保持补偿费</w:t>
      </w:r>
      <w:r>
        <w:rPr>
          <w:rFonts w:hint="eastAsia" w:ascii="仿宋" w:hAnsi="仿宋" w:eastAsia="仿宋"/>
          <w:sz w:val="28"/>
          <w:szCs w:val="28"/>
          <w:highlight w:val="none"/>
          <w:lang w:val="en-US" w:eastAsia="zh-CN"/>
        </w:rPr>
        <w:t>和</w:t>
      </w:r>
      <w:r>
        <w:rPr>
          <w:rFonts w:hint="eastAsia" w:ascii="仿宋" w:hAnsi="仿宋" w:eastAsia="仿宋"/>
          <w:sz w:val="28"/>
          <w:szCs w:val="28"/>
          <w:highlight w:val="none"/>
          <w:lang w:eastAsia="zh-CN"/>
        </w:rPr>
        <w:t>市级水资源费</w:t>
      </w:r>
      <w:r>
        <w:rPr>
          <w:rFonts w:hint="eastAsia" w:ascii="仿宋" w:hAnsi="仿宋" w:eastAsia="仿宋"/>
          <w:sz w:val="28"/>
          <w:szCs w:val="28"/>
          <w:highlight w:val="none"/>
          <w:lang w:val="en-US" w:eastAsia="zh-CN"/>
        </w:rPr>
        <w:t>的计划征收额，征收率100%。</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（4）规费征收合法率</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 xml:space="preserve"> </w:t>
      </w:r>
      <w:r>
        <w:rPr>
          <w:rFonts w:hint="eastAsia" w:ascii="仿宋" w:hAnsi="仿宋" w:eastAsia="仿宋"/>
          <w:bCs/>
          <w:sz w:val="28"/>
          <w:szCs w:val="28"/>
          <w:highlight w:val="none"/>
          <w:lang w:eastAsia="zh-CN"/>
        </w:rPr>
        <w:t>所有收费工作均按照“应征不免，应免不征”要求完成，</w:t>
      </w:r>
      <w:r>
        <w:rPr>
          <w:rFonts w:hint="eastAsia" w:ascii="仿宋" w:hAnsi="仿宋" w:eastAsia="仿宋"/>
          <w:bCs/>
          <w:sz w:val="28"/>
          <w:szCs w:val="28"/>
          <w:highlight w:val="none"/>
          <w:lang w:val="en-US" w:eastAsia="zh-CN"/>
        </w:rPr>
        <w:t>没有发生违反法规现象。</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（5）完成及时率</w:t>
      </w:r>
    </w:p>
    <w:p>
      <w:pPr>
        <w:spacing w:line="520" w:lineRule="exact"/>
        <w:ind w:firstLine="560" w:firstLineChars="200"/>
        <w:rPr>
          <w:rFonts w:hint="eastAsia" w:ascii="仿宋" w:hAnsi="仿宋" w:eastAsia="仿宋"/>
          <w:bCs/>
          <w:sz w:val="28"/>
          <w:szCs w:val="28"/>
          <w:highlight w:val="none"/>
          <w:lang w:val="en-US" w:eastAsia="zh-CN"/>
        </w:rPr>
      </w:pPr>
      <w:bookmarkStart w:id="33" w:name="_Toc517708021"/>
      <w:r>
        <w:rPr>
          <w:rFonts w:hint="eastAsia" w:ascii="仿宋" w:hAnsi="仿宋" w:eastAsia="仿宋"/>
          <w:bCs/>
          <w:sz w:val="28"/>
          <w:szCs w:val="28"/>
          <w:highlight w:val="none"/>
          <w:lang w:val="en-US" w:eastAsia="zh-CN"/>
        </w:rPr>
        <w:t xml:space="preserve"> 2017年度超额完成</w:t>
      </w:r>
      <w:r>
        <w:rPr>
          <w:rFonts w:hint="eastAsia" w:ascii="仿宋" w:hAnsi="仿宋" w:eastAsia="仿宋"/>
          <w:bCs/>
          <w:sz w:val="28"/>
          <w:szCs w:val="28"/>
          <w:highlight w:val="none"/>
          <w:lang w:eastAsia="zh-CN"/>
        </w:rPr>
        <w:t>市级水土保持补偿费</w:t>
      </w:r>
      <w:r>
        <w:rPr>
          <w:rFonts w:hint="eastAsia" w:ascii="仿宋" w:hAnsi="仿宋" w:eastAsia="仿宋"/>
          <w:bCs/>
          <w:sz w:val="28"/>
          <w:szCs w:val="28"/>
          <w:highlight w:val="none"/>
          <w:lang w:val="en-US" w:eastAsia="zh-CN"/>
        </w:rPr>
        <w:t>和</w:t>
      </w:r>
      <w:r>
        <w:rPr>
          <w:rFonts w:hint="eastAsia" w:ascii="仿宋" w:hAnsi="仿宋" w:eastAsia="仿宋"/>
          <w:bCs/>
          <w:sz w:val="28"/>
          <w:szCs w:val="28"/>
          <w:highlight w:val="none"/>
          <w:lang w:eastAsia="zh-CN"/>
        </w:rPr>
        <w:t>市级水资源费</w:t>
      </w:r>
      <w:r>
        <w:rPr>
          <w:rFonts w:hint="eastAsia" w:ascii="仿宋" w:hAnsi="仿宋" w:eastAsia="仿宋"/>
          <w:bCs/>
          <w:sz w:val="28"/>
          <w:szCs w:val="28"/>
          <w:highlight w:val="none"/>
          <w:lang w:val="en-US" w:eastAsia="zh-CN"/>
        </w:rPr>
        <w:t>的计划征收额，并及时、足额上缴国库。</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4.项目效果</w:t>
      </w:r>
      <w:bookmarkEnd w:id="33"/>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本项指标总分为30分，实际得分达30分，得分率100%,项目效果具体评价如下：</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（1）社会效益</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随着经济社会的快速发展,水资源短缺、水环境恶化等问题日益突出,因此,全面推行依法治水,加强水资源的统一管理,加大水资源费征收力度,加强污染治理,建立节水型社会,已显得十分迫切。水资源费的征收，提高了全社会对水是基础的自然资源和战略性经济资源的认识,水是经济社会可持续发展极为重要保证的认识,水是商品的认识,改变过去那种“水是天上掉下来的,千百年来随意使用,用水不需要交水资源费”的观念。树立用水必付费、节水利社会的观念,将水资源循环利用列入循环经济建设之中,充分发挥水资源的综合效益,促进国民经济持续快速健康协调发展。</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（2）可持续影响</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人类要生存、经济要发展、社会要进步,必然要开发和利用大自然,关键的问题是如何处理好开发与保护的关系,确保在经济发展的同时,做到资源的可持续利用和环境具有足够的承载力。</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水土保持补偿费的征收，一是在全社会树立了保护水土资源和生态环境就是保护生产力、保护财富、保护未来的观念，它促使开展经营活动的单位和个人不断强化对水土资源重要性的认识,自觉规范和约束自己的经营行为，它还促使广大农民积极转变农业生产方式和耕作方式,有效保护和改善土地质量,不断提高土地生产能力。二是改变了传统的掠夺式地开发利用资源、无限制地向大自然索取的做法,它通过征收规费这一经济监督的手段,有效地减少了开发建设过程中造成的水土流失,遏制了生态环境恶化的趋势。三是可以加快水土流失严重地区的治理步伐,减轻这些地区因水土流失而导致的各种自然灾害和经济损失。</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在水土保持工作中,树立和落实可持续发展的理念,就是要有效地保护和合理利用水土资源,有效地保护生态环境,既充分利用水土资源,又确保大自然能够承受资源与环境不衰退;既考虑当前,又考虑长远;既顾及当代人,又顾及后代人,以水土资源的可持续利用和生态环境的可持续维护,支撑经济社会的可持续发展。</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（3）保护水土环境</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水土资源是人类赖以生存的自然资源,也是构成自然环境的重要因素。水土流失的直接后果是破坏、减少、丧失水土资源,恶化生态环境,破坏农业生产条件。水土流失还造成江河下游严重的洪水泥沙危害,由于泥沙淤积严重,降低了湖泊、水库、河流的蓄洪、滞洪、行洪能力,对整个国民经济建设造成重大危害。金山银山不如绿水青山。征收水土保持补偿费是运用经济手段调节自然资源开发和保护人与自然关系的积极探索,它推动全社会在开发资源、发展经济、满足人的需要的过程中,既关注人,也关注自然,既满足人的需要,也维护自然的平衡。</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（4）服务对象满意度</w:t>
      </w:r>
    </w:p>
    <w:p>
      <w:pPr>
        <w:spacing w:line="520" w:lineRule="exact"/>
        <w:ind w:firstLine="560" w:firstLineChars="200"/>
        <w:rPr>
          <w:rFonts w:hint="eastAsia" w:ascii="仿宋" w:hAnsi="仿宋" w:eastAsia="仿宋"/>
          <w:bCs/>
          <w:sz w:val="28"/>
          <w:szCs w:val="28"/>
          <w:highlight w:val="none"/>
          <w:lang w:val="en-US" w:eastAsia="zh-CN"/>
        </w:rPr>
      </w:pPr>
      <w:bookmarkStart w:id="34" w:name="_Toc517708022"/>
      <w:r>
        <w:rPr>
          <w:rFonts w:hint="eastAsia" w:ascii="仿宋" w:hAnsi="仿宋" w:eastAsia="仿宋"/>
          <w:bCs/>
          <w:sz w:val="28"/>
          <w:szCs w:val="28"/>
          <w:highlight w:val="none"/>
          <w:lang w:val="en-US" w:eastAsia="zh-CN"/>
        </w:rPr>
        <w:t xml:space="preserve"> 与被服务企业关系融洽，企业积极按时按量足额缴费。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（四）评价结论</w:t>
      </w:r>
      <w:bookmarkEnd w:id="34"/>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outlineLvl w:val="9"/>
        <w:rPr>
          <w:rFonts w:hint="eastAsia" w:ascii="仿宋" w:hAnsi="仿宋" w:eastAsia="仿宋"/>
          <w:bCs/>
          <w:sz w:val="28"/>
          <w:szCs w:val="28"/>
          <w:highlight w:val="none"/>
          <w:lang w:val="en-US" w:eastAsia="zh-CN"/>
        </w:rPr>
      </w:pPr>
      <w:bookmarkStart w:id="35" w:name="_Toc517708023"/>
      <w:r>
        <w:rPr>
          <w:rFonts w:hint="eastAsia" w:ascii="仿宋" w:hAnsi="仿宋" w:eastAsia="仿宋"/>
          <w:bCs/>
          <w:sz w:val="28"/>
          <w:szCs w:val="28"/>
          <w:highlight w:val="none"/>
          <w:lang w:val="en-US" w:eastAsia="zh-CN"/>
        </w:rPr>
        <w:t>1.综合评分结果</w:t>
      </w:r>
      <w:bookmarkEnd w:id="35"/>
    </w:p>
    <w:tbl>
      <w:tblPr>
        <w:tblStyle w:val="12"/>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92"/>
        <w:gridCol w:w="1276"/>
        <w:gridCol w:w="1417"/>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tblHeader/>
        </w:trPr>
        <w:tc>
          <w:tcPr>
            <w:tcW w:w="1418" w:type="dxa"/>
            <w:vAlign w:val="center"/>
          </w:tcPr>
          <w:p>
            <w:pPr>
              <w:widowControl/>
              <w:jc w:val="center"/>
              <w:rPr>
                <w:rFonts w:ascii="仿宋" w:hAnsi="仿宋" w:eastAsia="仿宋" w:cs="仿宋"/>
                <w:b/>
                <w:kern w:val="0"/>
                <w:szCs w:val="21"/>
                <w:highlight w:val="none"/>
              </w:rPr>
            </w:pPr>
            <w:r>
              <w:rPr>
                <w:rFonts w:hint="eastAsia" w:ascii="仿宋" w:hAnsi="仿宋" w:eastAsia="仿宋" w:cs="仿宋"/>
                <w:b/>
                <w:kern w:val="0"/>
                <w:szCs w:val="21"/>
                <w:highlight w:val="none"/>
              </w:rPr>
              <w:t>评价指标</w:t>
            </w:r>
          </w:p>
        </w:tc>
        <w:tc>
          <w:tcPr>
            <w:tcW w:w="992" w:type="dxa"/>
            <w:vAlign w:val="center"/>
          </w:tcPr>
          <w:p>
            <w:pPr>
              <w:widowControl/>
              <w:jc w:val="center"/>
              <w:rPr>
                <w:rFonts w:ascii="仿宋" w:hAnsi="仿宋" w:eastAsia="仿宋" w:cs="仿宋"/>
                <w:b/>
                <w:kern w:val="0"/>
                <w:szCs w:val="21"/>
                <w:highlight w:val="none"/>
              </w:rPr>
            </w:pPr>
            <w:r>
              <w:rPr>
                <w:rFonts w:hint="eastAsia" w:ascii="仿宋" w:hAnsi="仿宋" w:eastAsia="仿宋" w:cs="仿宋"/>
                <w:b/>
                <w:kern w:val="0"/>
                <w:szCs w:val="21"/>
                <w:highlight w:val="none"/>
              </w:rPr>
              <w:t>权重</w:t>
            </w:r>
          </w:p>
        </w:tc>
        <w:tc>
          <w:tcPr>
            <w:tcW w:w="1276" w:type="dxa"/>
            <w:vAlign w:val="center"/>
          </w:tcPr>
          <w:p>
            <w:pPr>
              <w:widowControl/>
              <w:jc w:val="center"/>
              <w:rPr>
                <w:rFonts w:ascii="仿宋" w:hAnsi="仿宋" w:eastAsia="仿宋" w:cs="仿宋"/>
                <w:b/>
                <w:kern w:val="0"/>
                <w:szCs w:val="21"/>
                <w:highlight w:val="none"/>
              </w:rPr>
            </w:pPr>
            <w:r>
              <w:rPr>
                <w:rFonts w:hint="eastAsia" w:ascii="仿宋" w:hAnsi="仿宋" w:eastAsia="仿宋" w:cs="仿宋"/>
                <w:b/>
                <w:kern w:val="0"/>
                <w:szCs w:val="21"/>
                <w:highlight w:val="none"/>
              </w:rPr>
              <w:t>评级分值</w:t>
            </w:r>
          </w:p>
        </w:tc>
        <w:tc>
          <w:tcPr>
            <w:tcW w:w="1417" w:type="dxa"/>
            <w:vAlign w:val="center"/>
          </w:tcPr>
          <w:p>
            <w:pPr>
              <w:widowControl/>
              <w:jc w:val="center"/>
              <w:rPr>
                <w:rFonts w:ascii="仿宋" w:hAnsi="仿宋" w:eastAsia="仿宋" w:cs="仿宋"/>
                <w:b/>
                <w:kern w:val="0"/>
                <w:szCs w:val="21"/>
                <w:highlight w:val="none"/>
              </w:rPr>
            </w:pPr>
            <w:r>
              <w:rPr>
                <w:rFonts w:hint="eastAsia" w:ascii="仿宋" w:hAnsi="仿宋" w:eastAsia="仿宋" w:cs="仿宋"/>
                <w:b/>
                <w:kern w:val="0"/>
                <w:szCs w:val="21"/>
                <w:highlight w:val="none"/>
              </w:rPr>
              <w:t>项目得分</w:t>
            </w:r>
          </w:p>
        </w:tc>
        <w:tc>
          <w:tcPr>
            <w:tcW w:w="1701" w:type="dxa"/>
            <w:vAlign w:val="center"/>
          </w:tcPr>
          <w:p>
            <w:pPr>
              <w:widowControl/>
              <w:jc w:val="center"/>
              <w:rPr>
                <w:rFonts w:ascii="仿宋" w:hAnsi="仿宋" w:eastAsia="仿宋" w:cs="仿宋"/>
                <w:b/>
                <w:kern w:val="0"/>
                <w:szCs w:val="21"/>
                <w:highlight w:val="none"/>
              </w:rPr>
            </w:pPr>
            <w:r>
              <w:rPr>
                <w:rFonts w:hint="eastAsia" w:ascii="仿宋" w:hAnsi="仿宋" w:eastAsia="仿宋" w:cs="仿宋"/>
                <w:b/>
                <w:kern w:val="0"/>
                <w:szCs w:val="21"/>
                <w:highlight w:val="none"/>
              </w:rPr>
              <w:t>得分率</w:t>
            </w:r>
          </w:p>
        </w:tc>
        <w:tc>
          <w:tcPr>
            <w:tcW w:w="1418" w:type="dxa"/>
            <w:vAlign w:val="center"/>
          </w:tcPr>
          <w:p>
            <w:pPr>
              <w:jc w:val="center"/>
              <w:rPr>
                <w:rFonts w:ascii="仿宋" w:hAnsi="仿宋" w:eastAsia="仿宋" w:cs="仿宋"/>
                <w:b/>
                <w:kern w:val="0"/>
                <w:szCs w:val="21"/>
                <w:highlight w:val="none"/>
              </w:rPr>
            </w:pPr>
            <w:r>
              <w:rPr>
                <w:rFonts w:hint="eastAsia" w:ascii="仿宋" w:hAnsi="仿宋" w:eastAsia="仿宋" w:cs="仿宋"/>
                <w:b/>
                <w:kern w:val="0"/>
                <w:szCs w:val="21"/>
                <w:highlight w:val="none"/>
              </w:rPr>
              <w:t>评价级别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trPr>
        <w:tc>
          <w:tcPr>
            <w:tcW w:w="1418"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项目投入</w:t>
            </w:r>
          </w:p>
        </w:tc>
        <w:tc>
          <w:tcPr>
            <w:tcW w:w="992"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12%</w:t>
            </w:r>
          </w:p>
        </w:tc>
        <w:tc>
          <w:tcPr>
            <w:tcW w:w="1276"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12</w:t>
            </w:r>
          </w:p>
        </w:tc>
        <w:tc>
          <w:tcPr>
            <w:tcW w:w="1417" w:type="dxa"/>
            <w:vAlign w:val="center"/>
          </w:tcPr>
          <w:p>
            <w:pPr>
              <w:widowControl/>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9</w:t>
            </w:r>
          </w:p>
        </w:tc>
        <w:tc>
          <w:tcPr>
            <w:tcW w:w="1701"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lang w:val="en-US" w:eastAsia="zh-CN"/>
              </w:rPr>
              <w:t>75</w:t>
            </w:r>
            <w:r>
              <w:rPr>
                <w:rFonts w:hint="eastAsia" w:ascii="仿宋" w:hAnsi="仿宋" w:eastAsia="仿宋" w:cs="仿宋"/>
                <w:kern w:val="0"/>
                <w:szCs w:val="21"/>
                <w:highlight w:val="none"/>
              </w:rPr>
              <w:t>%</w:t>
            </w:r>
          </w:p>
        </w:tc>
        <w:tc>
          <w:tcPr>
            <w:tcW w:w="1418" w:type="dxa"/>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418"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项目过程</w:t>
            </w:r>
          </w:p>
        </w:tc>
        <w:tc>
          <w:tcPr>
            <w:tcW w:w="992"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28%</w:t>
            </w:r>
          </w:p>
        </w:tc>
        <w:tc>
          <w:tcPr>
            <w:tcW w:w="1276"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28</w:t>
            </w:r>
          </w:p>
        </w:tc>
        <w:tc>
          <w:tcPr>
            <w:tcW w:w="1417" w:type="dxa"/>
            <w:vAlign w:val="center"/>
          </w:tcPr>
          <w:p>
            <w:pPr>
              <w:widowControl/>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rPr>
              <w:t>2</w:t>
            </w:r>
            <w:r>
              <w:rPr>
                <w:rFonts w:hint="eastAsia" w:ascii="仿宋" w:hAnsi="仿宋" w:eastAsia="仿宋" w:cs="仿宋"/>
                <w:kern w:val="0"/>
                <w:szCs w:val="21"/>
                <w:highlight w:val="none"/>
                <w:lang w:val="en-US" w:eastAsia="zh-CN"/>
              </w:rPr>
              <w:t>4</w:t>
            </w:r>
          </w:p>
        </w:tc>
        <w:tc>
          <w:tcPr>
            <w:tcW w:w="1701"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lang w:val="en-US" w:eastAsia="zh-CN"/>
              </w:rPr>
              <w:t>85.71</w:t>
            </w:r>
            <w:r>
              <w:rPr>
                <w:rFonts w:hint="eastAsia" w:ascii="仿宋" w:hAnsi="仿宋" w:eastAsia="仿宋" w:cs="仿宋"/>
                <w:kern w:val="0"/>
                <w:szCs w:val="21"/>
                <w:highlight w:val="none"/>
              </w:rPr>
              <w:t>%</w:t>
            </w:r>
          </w:p>
        </w:tc>
        <w:tc>
          <w:tcPr>
            <w:tcW w:w="1418" w:type="dxa"/>
            <w:vAlign w:val="center"/>
          </w:tcPr>
          <w:p>
            <w:pPr>
              <w:jc w:val="center"/>
              <w:rPr>
                <w:rFonts w:ascii="仿宋" w:hAnsi="仿宋" w:eastAsia="仿宋" w:cs="仿宋"/>
                <w:kern w:val="0"/>
                <w:szCs w:val="21"/>
                <w:highlight w:val="none"/>
              </w:rPr>
            </w:pPr>
            <w:r>
              <w:rPr>
                <w:rFonts w:hint="eastAsia" w:ascii="仿宋" w:hAnsi="仿宋" w:eastAsia="仿宋" w:cs="仿宋"/>
                <w:kern w:val="0"/>
                <w:szCs w:val="21"/>
                <w:highlight w:val="none"/>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exact"/>
        </w:trPr>
        <w:tc>
          <w:tcPr>
            <w:tcW w:w="1418"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项目产出</w:t>
            </w:r>
          </w:p>
        </w:tc>
        <w:tc>
          <w:tcPr>
            <w:tcW w:w="992"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30%</w:t>
            </w:r>
          </w:p>
        </w:tc>
        <w:tc>
          <w:tcPr>
            <w:tcW w:w="1276"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30</w:t>
            </w:r>
          </w:p>
        </w:tc>
        <w:tc>
          <w:tcPr>
            <w:tcW w:w="1417" w:type="dxa"/>
            <w:vAlign w:val="center"/>
          </w:tcPr>
          <w:p>
            <w:pPr>
              <w:widowControl/>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30</w:t>
            </w:r>
          </w:p>
        </w:tc>
        <w:tc>
          <w:tcPr>
            <w:tcW w:w="1701"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lang w:val="en-US" w:eastAsia="zh-CN"/>
              </w:rPr>
              <w:t>100</w:t>
            </w:r>
            <w:r>
              <w:rPr>
                <w:rFonts w:hint="eastAsia" w:ascii="仿宋" w:hAnsi="仿宋" w:eastAsia="仿宋" w:cs="仿宋"/>
                <w:kern w:val="0"/>
                <w:szCs w:val="21"/>
                <w:highlight w:val="none"/>
              </w:rPr>
              <w:t>%</w:t>
            </w:r>
          </w:p>
        </w:tc>
        <w:tc>
          <w:tcPr>
            <w:tcW w:w="1418" w:type="dxa"/>
            <w:vAlign w:val="center"/>
          </w:tcPr>
          <w:p>
            <w:pPr>
              <w:jc w:val="center"/>
              <w:rPr>
                <w:rFonts w:ascii="仿宋" w:hAnsi="仿宋" w:eastAsia="仿宋" w:cs="仿宋"/>
                <w:kern w:val="0"/>
                <w:szCs w:val="21"/>
                <w:highlight w:val="none"/>
              </w:rPr>
            </w:pPr>
            <w:r>
              <w:rPr>
                <w:rFonts w:hint="eastAsia" w:ascii="仿宋" w:hAnsi="仿宋" w:eastAsia="仿宋" w:cs="仿宋"/>
                <w:kern w:val="0"/>
                <w:szCs w:val="21"/>
                <w:highlight w:val="none"/>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exact"/>
        </w:trPr>
        <w:tc>
          <w:tcPr>
            <w:tcW w:w="1418"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项目效果</w:t>
            </w:r>
          </w:p>
        </w:tc>
        <w:tc>
          <w:tcPr>
            <w:tcW w:w="992"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30%</w:t>
            </w:r>
          </w:p>
        </w:tc>
        <w:tc>
          <w:tcPr>
            <w:tcW w:w="1276"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30</w:t>
            </w:r>
          </w:p>
        </w:tc>
        <w:tc>
          <w:tcPr>
            <w:tcW w:w="1417" w:type="dxa"/>
            <w:vAlign w:val="center"/>
          </w:tcPr>
          <w:p>
            <w:pPr>
              <w:widowControl/>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30</w:t>
            </w:r>
          </w:p>
        </w:tc>
        <w:tc>
          <w:tcPr>
            <w:tcW w:w="1701"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lang w:val="en-US" w:eastAsia="zh-CN"/>
              </w:rPr>
              <w:t>100</w:t>
            </w:r>
            <w:r>
              <w:rPr>
                <w:rFonts w:hint="eastAsia" w:ascii="仿宋" w:hAnsi="仿宋" w:eastAsia="仿宋" w:cs="仿宋"/>
                <w:kern w:val="0"/>
                <w:szCs w:val="21"/>
                <w:highlight w:val="none"/>
              </w:rPr>
              <w:t>%</w:t>
            </w:r>
          </w:p>
        </w:tc>
        <w:tc>
          <w:tcPr>
            <w:tcW w:w="1418" w:type="dxa"/>
            <w:vAlign w:val="center"/>
          </w:tcPr>
          <w:p>
            <w:pPr>
              <w:jc w:val="center"/>
              <w:rPr>
                <w:rFonts w:ascii="仿宋" w:hAnsi="仿宋" w:eastAsia="仿宋" w:cs="仿宋"/>
                <w:kern w:val="0"/>
                <w:szCs w:val="21"/>
                <w:highlight w:val="none"/>
              </w:rPr>
            </w:pPr>
            <w:r>
              <w:rPr>
                <w:rFonts w:hint="eastAsia" w:ascii="仿宋" w:hAnsi="仿宋" w:eastAsia="仿宋" w:cs="仿宋"/>
                <w:kern w:val="0"/>
                <w:szCs w:val="21"/>
                <w:highlight w:val="none"/>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18"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综合绩效</w:t>
            </w:r>
          </w:p>
        </w:tc>
        <w:tc>
          <w:tcPr>
            <w:tcW w:w="992"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100%</w:t>
            </w:r>
          </w:p>
        </w:tc>
        <w:tc>
          <w:tcPr>
            <w:tcW w:w="1276"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100</w:t>
            </w:r>
          </w:p>
        </w:tc>
        <w:tc>
          <w:tcPr>
            <w:tcW w:w="1417" w:type="dxa"/>
            <w:vAlign w:val="center"/>
          </w:tcPr>
          <w:p>
            <w:pPr>
              <w:widowControl/>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rPr>
              <w:t>93</w:t>
            </w:r>
          </w:p>
        </w:tc>
        <w:tc>
          <w:tcPr>
            <w:tcW w:w="1701" w:type="dxa"/>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93%</w:t>
            </w:r>
          </w:p>
        </w:tc>
        <w:tc>
          <w:tcPr>
            <w:tcW w:w="1418" w:type="dxa"/>
            <w:vAlign w:val="center"/>
          </w:tcPr>
          <w:p>
            <w:pPr>
              <w:jc w:val="center"/>
              <w:rPr>
                <w:rFonts w:ascii="仿宋" w:hAnsi="仿宋" w:eastAsia="仿宋" w:cs="仿宋"/>
                <w:kern w:val="0"/>
                <w:szCs w:val="21"/>
                <w:highlight w:val="none"/>
              </w:rPr>
            </w:pPr>
            <w:r>
              <w:rPr>
                <w:rFonts w:hint="eastAsia" w:ascii="仿宋" w:hAnsi="仿宋" w:eastAsia="仿宋" w:cs="仿宋"/>
                <w:kern w:val="0"/>
                <w:szCs w:val="21"/>
                <w:highlight w:val="none"/>
              </w:rPr>
              <w:t>优</w:t>
            </w:r>
          </w:p>
        </w:tc>
      </w:tr>
    </w:tbl>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从投入来看，项目立项依据充分，立项申请符合规定，项目申报的主要内容完整，绩效目标符合国家相关法律法规，与项目实施单位职责密切相关，项目资金按计划投入到位，资金拨付及时 。</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 xml:space="preserve">从过程来看，项目资金使用按照计划执行，符合国家财经法规和财务管理制度以及有关专项资管理办法的规定。项目资金拨付与使用有完整的审批流程和手续，账簿齐全，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 项目单位基本建设管理程序落实到位。 </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从产出来看，项目产出良好，项目在预定时间内及时实施完成，数量指标和质量达标率达到预期。</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从效果来看，项目的实施树立了正确的用水必付费、节水利社会的观念，预防和治理水土流失，保护水土环境，促进国民经济持续快速健康协调发展。</w:t>
      </w:r>
    </w:p>
    <w:p>
      <w:pPr>
        <w:spacing w:line="520" w:lineRule="exact"/>
        <w:ind w:firstLine="560" w:firstLineChars="200"/>
        <w:rPr>
          <w:rFonts w:hint="eastAsia" w:ascii="仿宋" w:hAnsi="仿宋" w:eastAsia="仿宋"/>
          <w:bCs/>
          <w:sz w:val="28"/>
          <w:szCs w:val="28"/>
          <w:highlight w:val="none"/>
          <w:lang w:val="en-US" w:eastAsia="zh-CN"/>
        </w:rPr>
      </w:pPr>
      <w:bookmarkStart w:id="36" w:name="_Toc517708024"/>
      <w:r>
        <w:rPr>
          <w:rFonts w:hint="eastAsia" w:ascii="仿宋" w:hAnsi="仿宋" w:eastAsia="仿宋"/>
          <w:bCs/>
          <w:sz w:val="28"/>
          <w:szCs w:val="28"/>
          <w:highlight w:val="none"/>
          <w:lang w:val="en-US" w:eastAsia="zh-CN"/>
        </w:rPr>
        <w:t>2.主要结论</w:t>
      </w:r>
      <w:bookmarkEnd w:id="36"/>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本次项目绩效评价结果为“优”。项目符合城市发展政策，项目立项依据充分；财务和项目管理工作有效；项目完成情况、完成及时情况和质量达计划目标；项目社会效益、环境效益明显。项目实施树立了正确的用水必付费、节水利社会的观念，预防和治理水土流失，保护水土环境，促进国民经济持续快速健康协调发展。</w:t>
      </w:r>
    </w:p>
    <w:p>
      <w:pPr>
        <w:spacing w:line="520" w:lineRule="exact"/>
        <w:ind w:firstLine="560" w:firstLineChars="200"/>
        <w:rPr>
          <w:rFonts w:hint="eastAsia" w:ascii="黑体" w:hAnsi="黑体" w:eastAsia="黑体" w:cs="黑体"/>
          <w:bCs/>
          <w:sz w:val="28"/>
          <w:szCs w:val="28"/>
          <w:highlight w:val="none"/>
          <w:lang w:val="en-US" w:eastAsia="zh-CN"/>
        </w:rPr>
      </w:pPr>
      <w:bookmarkStart w:id="37" w:name="_Toc517708025"/>
      <w:bookmarkStart w:id="38" w:name="_Toc7491"/>
      <w:bookmarkStart w:id="39" w:name="_Toc511502547"/>
      <w:bookmarkStart w:id="40" w:name="_Toc24984_WPSOffice_Level1"/>
      <w:r>
        <w:rPr>
          <w:rFonts w:hint="eastAsia" w:ascii="黑体" w:hAnsi="黑体" w:eastAsia="黑体" w:cs="黑体"/>
          <w:bCs/>
          <w:sz w:val="28"/>
          <w:szCs w:val="28"/>
          <w:highlight w:val="none"/>
          <w:lang w:val="en-US" w:eastAsia="zh-CN"/>
        </w:rPr>
        <w:t>四、主要经验及做法、存在的问题</w:t>
      </w:r>
      <w:bookmarkEnd w:id="37"/>
      <w:bookmarkEnd w:id="38"/>
      <w:bookmarkEnd w:id="39"/>
      <w:bookmarkEnd w:id="40"/>
    </w:p>
    <w:p>
      <w:pPr>
        <w:spacing w:line="520" w:lineRule="exact"/>
        <w:ind w:firstLine="560" w:firstLineChars="200"/>
        <w:rPr>
          <w:rFonts w:hint="eastAsia" w:ascii="仿宋" w:hAnsi="仿宋" w:eastAsia="仿宋"/>
          <w:bCs/>
          <w:sz w:val="28"/>
          <w:szCs w:val="28"/>
          <w:highlight w:val="none"/>
          <w:lang w:val="en-US" w:eastAsia="zh-CN"/>
        </w:rPr>
      </w:pPr>
      <w:bookmarkStart w:id="41" w:name="_Toc517708026"/>
      <w:bookmarkStart w:id="42" w:name="_Toc511502548"/>
      <w:bookmarkStart w:id="43" w:name="_Toc590"/>
      <w:r>
        <w:rPr>
          <w:rFonts w:hint="eastAsia" w:ascii="仿宋" w:hAnsi="仿宋" w:eastAsia="仿宋"/>
          <w:bCs/>
          <w:sz w:val="28"/>
          <w:szCs w:val="28"/>
          <w:highlight w:val="none"/>
          <w:lang w:val="en-US" w:eastAsia="zh-CN"/>
        </w:rPr>
        <w:t>（一）主要经验及做法</w:t>
      </w:r>
      <w:bookmarkEnd w:id="41"/>
      <w:bookmarkEnd w:id="42"/>
      <w:bookmarkEnd w:id="43"/>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1.应收尽收水资源费，指导督促区局征收水土保持补偿费，并按规定上解到市水务局。</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2.开展“两随机、一公开”工作，加强执法检查。</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3.提升能力建设，尤其是依法办事能力。</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4.实行执法责任制，分解执法职责，严格执法程序，评估执法效益，落实奖惩措施。</w:t>
      </w:r>
    </w:p>
    <w:p>
      <w:pPr>
        <w:spacing w:line="520" w:lineRule="exact"/>
        <w:ind w:firstLine="560" w:firstLineChars="200"/>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5.从台帐入手，提升工作效率，其措施是：定岗定责定位，守岗履职尽责，月评晒台帐，年考看实绩。</w:t>
      </w:r>
    </w:p>
    <w:p>
      <w:pPr>
        <w:spacing w:line="520" w:lineRule="exact"/>
        <w:ind w:firstLine="560" w:firstLineChars="200"/>
        <w:rPr>
          <w:rFonts w:hint="eastAsia" w:ascii="仿宋" w:hAnsi="仿宋" w:eastAsia="仿宋"/>
          <w:bCs/>
          <w:sz w:val="28"/>
          <w:szCs w:val="28"/>
          <w:highlight w:val="none"/>
          <w:lang w:val="en-US" w:eastAsia="zh-CN"/>
        </w:rPr>
      </w:pPr>
      <w:bookmarkStart w:id="44" w:name="_Toc517708027"/>
      <w:r>
        <w:rPr>
          <w:rFonts w:hint="eastAsia" w:ascii="仿宋" w:hAnsi="仿宋" w:eastAsia="仿宋"/>
          <w:bCs/>
          <w:sz w:val="28"/>
          <w:szCs w:val="28"/>
          <w:highlight w:val="none"/>
          <w:lang w:val="en-US" w:eastAsia="zh-CN"/>
        </w:rPr>
        <w:t>（二）主要问题</w:t>
      </w:r>
      <w:bookmarkEnd w:id="44"/>
    </w:p>
    <w:p>
      <w:pPr>
        <w:spacing w:line="520" w:lineRule="exact"/>
        <w:ind w:firstLine="560" w:firstLineChars="200"/>
        <w:rPr>
          <w:rFonts w:hint="eastAsia" w:ascii="仿宋" w:hAnsi="仿宋" w:eastAsia="仿宋"/>
          <w:bCs/>
          <w:sz w:val="28"/>
          <w:szCs w:val="28"/>
          <w:highlight w:val="none"/>
        </w:rPr>
      </w:pPr>
      <w:r>
        <w:rPr>
          <w:rFonts w:hint="eastAsia" w:ascii="仿宋" w:hAnsi="仿宋" w:eastAsia="仿宋"/>
          <w:bCs/>
          <w:sz w:val="28"/>
          <w:szCs w:val="28"/>
          <w:highlight w:val="none"/>
          <w:lang w:val="en-US" w:eastAsia="zh-CN"/>
        </w:rPr>
        <w:t>一是项目支出</w:t>
      </w:r>
      <w:r>
        <w:rPr>
          <w:rFonts w:hint="eastAsia" w:ascii="仿宋" w:hAnsi="仿宋" w:eastAsia="仿宋"/>
          <w:bCs/>
          <w:sz w:val="28"/>
          <w:szCs w:val="28"/>
          <w:highlight w:val="none"/>
        </w:rPr>
        <w:t>测算依据及说明不具体</w:t>
      </w:r>
      <w:r>
        <w:rPr>
          <w:rFonts w:hint="eastAsia" w:ascii="仿宋" w:hAnsi="仿宋" w:eastAsia="仿宋"/>
          <w:bCs/>
          <w:sz w:val="28"/>
          <w:szCs w:val="28"/>
          <w:highlight w:val="none"/>
          <w:lang w:eastAsia="zh-CN"/>
        </w:rPr>
        <w:t>，</w:t>
      </w:r>
      <w:r>
        <w:rPr>
          <w:rFonts w:hint="eastAsia" w:ascii="仿宋" w:hAnsi="仿宋" w:eastAsia="仿宋"/>
          <w:bCs/>
          <w:sz w:val="28"/>
          <w:szCs w:val="28"/>
          <w:highlight w:val="none"/>
        </w:rPr>
        <w:t>未对项目支出内容进行细化测算</w:t>
      </w:r>
      <w:r>
        <w:rPr>
          <w:rFonts w:hint="eastAsia" w:ascii="仿宋" w:hAnsi="仿宋" w:eastAsia="仿宋"/>
          <w:bCs/>
          <w:sz w:val="28"/>
          <w:szCs w:val="28"/>
          <w:highlight w:val="none"/>
          <w:lang w:eastAsia="zh-CN"/>
        </w:rPr>
        <w:t>；</w:t>
      </w:r>
      <w:r>
        <w:rPr>
          <w:rFonts w:hint="eastAsia" w:ascii="仿宋" w:hAnsi="仿宋" w:eastAsia="仿宋"/>
          <w:bCs/>
          <w:sz w:val="28"/>
          <w:szCs w:val="28"/>
          <w:highlight w:val="none"/>
          <w:lang w:val="en-US" w:eastAsia="zh-CN"/>
        </w:rPr>
        <w:t>二 是</w:t>
      </w:r>
      <w:r>
        <w:rPr>
          <w:rFonts w:hint="eastAsia" w:ascii="仿宋" w:hAnsi="仿宋" w:eastAsia="仿宋"/>
          <w:bCs/>
          <w:sz w:val="28"/>
          <w:szCs w:val="28"/>
          <w:highlight w:val="none"/>
        </w:rPr>
        <w:t>编制项目年度绩效指标时</w:t>
      </w:r>
      <w:r>
        <w:rPr>
          <w:rFonts w:hint="eastAsia" w:ascii="仿宋" w:hAnsi="仿宋" w:eastAsia="仿宋"/>
          <w:bCs/>
          <w:sz w:val="28"/>
          <w:szCs w:val="28"/>
          <w:highlight w:val="none"/>
          <w:lang w:eastAsia="zh-CN"/>
        </w:rPr>
        <w:t>，</w:t>
      </w:r>
      <w:r>
        <w:rPr>
          <w:rFonts w:hint="eastAsia" w:ascii="仿宋" w:hAnsi="仿宋" w:eastAsia="仿宋"/>
          <w:bCs/>
          <w:sz w:val="28"/>
          <w:szCs w:val="28"/>
          <w:highlight w:val="none"/>
          <w:lang w:val="en-US" w:eastAsia="zh-CN"/>
        </w:rPr>
        <w:t>无法</w:t>
      </w:r>
      <w:r>
        <w:rPr>
          <w:rFonts w:hint="eastAsia" w:ascii="仿宋" w:hAnsi="仿宋" w:eastAsia="仿宋"/>
          <w:bCs/>
          <w:sz w:val="28"/>
          <w:szCs w:val="28"/>
          <w:highlight w:val="none"/>
        </w:rPr>
        <w:t>通过清晰、可衡量的指标值予以体现。</w:t>
      </w:r>
    </w:p>
    <w:p>
      <w:pPr>
        <w:spacing w:line="520" w:lineRule="exact"/>
        <w:ind w:firstLine="560" w:firstLineChars="200"/>
        <w:outlineLvl w:val="0"/>
        <w:rPr>
          <w:rFonts w:ascii="黑体" w:hAnsi="黑体" w:eastAsia="黑体" w:cs="黑体"/>
          <w:sz w:val="28"/>
          <w:szCs w:val="28"/>
          <w:highlight w:val="none"/>
        </w:rPr>
      </w:pPr>
      <w:bookmarkStart w:id="45" w:name="_Toc511502550"/>
      <w:bookmarkStart w:id="46" w:name="_Toc517708028"/>
      <w:bookmarkStart w:id="47" w:name="_Toc27100_WPSOffice_Level1"/>
      <w:bookmarkStart w:id="48" w:name="_Toc31947"/>
      <w:r>
        <w:rPr>
          <w:rFonts w:hint="eastAsia" w:ascii="仿宋" w:hAnsi="仿宋" w:eastAsia="仿宋"/>
          <w:bCs/>
          <w:sz w:val="28"/>
          <w:szCs w:val="28"/>
          <w:highlight w:val="none"/>
          <w:lang w:val="en-US" w:eastAsia="zh-CN"/>
        </w:rPr>
        <w:t xml:space="preserve"> </w:t>
      </w:r>
      <w:r>
        <w:rPr>
          <w:rFonts w:hint="eastAsia" w:ascii="黑体" w:hAnsi="黑体" w:eastAsia="黑体" w:cs="黑体"/>
          <w:sz w:val="28"/>
          <w:szCs w:val="28"/>
          <w:highlight w:val="none"/>
        </w:rPr>
        <w:t>五、建议</w:t>
      </w:r>
      <w:bookmarkEnd w:id="45"/>
      <w:bookmarkEnd w:id="46"/>
      <w:bookmarkEnd w:id="47"/>
    </w:p>
    <w:bookmarkEnd w:id="48"/>
    <w:p>
      <w:pPr>
        <w:spacing w:line="520" w:lineRule="exact"/>
        <w:ind w:firstLine="560" w:firstLineChars="200"/>
        <w:rPr>
          <w:rFonts w:ascii="仿宋" w:hAnsi="仿宋" w:eastAsia="仿宋"/>
          <w:bCs/>
          <w:sz w:val="28"/>
          <w:szCs w:val="28"/>
          <w:highlight w:val="none"/>
        </w:rPr>
      </w:pPr>
      <w:r>
        <w:rPr>
          <w:rFonts w:hint="eastAsia" w:ascii="仿宋" w:hAnsi="仿宋" w:eastAsia="仿宋"/>
          <w:sz w:val="28"/>
          <w:szCs w:val="28"/>
          <w:highlight w:val="none"/>
          <w:lang w:val="en-US" w:eastAsia="zh-CN"/>
        </w:rPr>
        <w:t xml:space="preserve"> </w:t>
      </w:r>
      <w:r>
        <w:rPr>
          <w:rFonts w:hint="eastAsia" w:ascii="仿宋" w:hAnsi="仿宋" w:eastAsia="仿宋"/>
          <w:bCs/>
          <w:sz w:val="28"/>
          <w:szCs w:val="28"/>
          <w:highlight w:val="none"/>
        </w:rPr>
        <w:t>加强对《预算法》、《会计法》等法律法规的学习宣传力度，落实部门预算编制的主体责任。要在区预算部门开展多种形式的《预算法》学习宣传活动，提高部门工作人员的预算法定意识、资金绩效意识、花钱责任意识，明确部门对预算编制的真实性、准确性、完整性负有的法定责任，增强机关工作人员的预算编制参与度，准确、合理编制项目绩效目标。</w:t>
      </w:r>
    </w:p>
    <w:p>
      <w:pPr>
        <w:spacing w:line="520" w:lineRule="exact"/>
        <w:ind w:firstLine="560" w:firstLineChars="200"/>
        <w:outlineLvl w:val="0"/>
        <w:rPr>
          <w:rFonts w:hint="eastAsia" w:ascii="仿宋" w:hAnsi="仿宋" w:eastAsia="仿宋"/>
          <w:sz w:val="28"/>
          <w:szCs w:val="28"/>
          <w:highlight w:val="none"/>
          <w:lang w:val="en-US" w:eastAsia="zh-CN"/>
        </w:rPr>
      </w:pPr>
      <w:bookmarkStart w:id="49" w:name="_Toc517708029"/>
      <w:bookmarkStart w:id="50" w:name="_Toc511502553"/>
      <w:bookmarkStart w:id="51" w:name="_Toc22970"/>
      <w:bookmarkStart w:id="52" w:name="_Toc17018_WPSOffice_Level1"/>
      <w:r>
        <w:rPr>
          <w:rFonts w:hint="eastAsia" w:ascii="仿宋" w:hAnsi="仿宋" w:eastAsia="仿宋"/>
          <w:bCs/>
          <w:sz w:val="28"/>
          <w:szCs w:val="28"/>
          <w:highlight w:val="none"/>
          <w:lang w:val="en-US" w:eastAsia="zh-CN"/>
        </w:rPr>
        <w:t xml:space="preserve"> </w:t>
      </w:r>
      <w:r>
        <w:rPr>
          <w:rFonts w:hint="eastAsia" w:ascii="黑体" w:hAnsi="黑体" w:eastAsia="黑体" w:cs="黑体"/>
          <w:sz w:val="28"/>
          <w:szCs w:val="28"/>
          <w:highlight w:val="none"/>
        </w:rPr>
        <w:t>六、其他需说明的问题</w:t>
      </w:r>
      <w:bookmarkEnd w:id="49"/>
      <w:bookmarkEnd w:id="50"/>
      <w:bookmarkEnd w:id="51"/>
      <w:bookmarkEnd w:id="52"/>
    </w:p>
    <w:p>
      <w:pPr>
        <w:spacing w:line="52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部分项目绩效很难在短期内体现出来，一是项目效益是长期的过程，并非所有的投入当年就能见效，很难在短期内见到的效果；二是项目的效益难以准确定量衡量。</w:t>
      </w:r>
    </w:p>
    <w:p>
      <w:pPr>
        <w:ind w:firstLine="560" w:firstLineChars="200"/>
        <w:rPr>
          <w:rFonts w:hint="eastAsia" w:ascii="仿宋" w:hAnsi="仿宋" w:eastAsia="仿宋"/>
          <w:sz w:val="28"/>
          <w:szCs w:val="28"/>
          <w:highlight w:val="none"/>
        </w:rPr>
      </w:pP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 xml:space="preserve">                       </w:t>
      </w:r>
    </w:p>
    <w:p>
      <w:pPr>
        <w:ind w:firstLine="560" w:firstLineChars="200"/>
        <w:rPr>
          <w:rFonts w:hint="eastAsia" w:ascii="仿宋" w:hAnsi="仿宋" w:eastAsia="仿宋"/>
          <w:sz w:val="28"/>
          <w:szCs w:val="28"/>
          <w:highlight w:val="none"/>
        </w:rPr>
      </w:pPr>
    </w:p>
    <w:p>
      <w:pPr>
        <w:ind w:firstLine="560" w:firstLineChars="200"/>
        <w:rPr>
          <w:rFonts w:hint="eastAsia" w:ascii="仿宋" w:hAnsi="仿宋" w:eastAsia="仿宋"/>
          <w:sz w:val="28"/>
          <w:szCs w:val="28"/>
          <w:highlight w:val="none"/>
        </w:rPr>
      </w:pPr>
    </w:p>
    <w:p>
      <w:pPr>
        <w:ind w:firstLine="560" w:firstLineChars="200"/>
        <w:rPr>
          <w:rFonts w:hint="eastAsia" w:ascii="仿宋" w:hAnsi="仿宋" w:eastAsia="仿宋"/>
          <w:sz w:val="28"/>
          <w:szCs w:val="28"/>
          <w:highlight w:val="none"/>
        </w:rPr>
      </w:pPr>
    </w:p>
    <w:p>
      <w:pPr>
        <w:ind w:firstLine="4200" w:firstLineChars="1500"/>
        <w:rPr>
          <w:highlight w:val="none"/>
        </w:rPr>
      </w:pPr>
      <w:r>
        <w:rPr>
          <w:rFonts w:hint="eastAsia" w:ascii="仿宋" w:hAnsi="仿宋" w:eastAsia="仿宋"/>
          <w:sz w:val="28"/>
          <w:szCs w:val="28"/>
          <w:highlight w:val="none"/>
        </w:rPr>
        <w:t xml:space="preserve">  二0一八年七月十五日</w:t>
      </w:r>
    </w:p>
    <w:sectPr>
      <w:footerReference r:id="rId5" w:type="default"/>
      <w:pgSz w:w="11850" w:h="16783"/>
      <w:pgMar w:top="1440" w:right="1800" w:bottom="1440" w:left="1800"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lgun Gothic Semilight">
    <w:altName w:val="宋体"/>
    <w:panose1 w:val="00000000000000000000"/>
    <w:charset w:val="86"/>
    <w:family w:val="swiss"/>
    <w:pitch w:val="default"/>
    <w:sig w:usb0="00000000" w:usb1="00000000" w:usb2="00000012" w:usb3="00000000" w:csb0="003E01BD"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863745"/>
    <w:multiLevelType w:val="singleLevel"/>
    <w:tmpl w:val="A88637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924B0"/>
    <w:rsid w:val="000E016E"/>
    <w:rsid w:val="000F1C74"/>
    <w:rsid w:val="000F54BB"/>
    <w:rsid w:val="00101AF6"/>
    <w:rsid w:val="00156362"/>
    <w:rsid w:val="001E5898"/>
    <w:rsid w:val="001F6A68"/>
    <w:rsid w:val="002469B1"/>
    <w:rsid w:val="002D0E32"/>
    <w:rsid w:val="00411F4F"/>
    <w:rsid w:val="00423797"/>
    <w:rsid w:val="00427412"/>
    <w:rsid w:val="00462CE4"/>
    <w:rsid w:val="00473879"/>
    <w:rsid w:val="004A2A1F"/>
    <w:rsid w:val="004C58FC"/>
    <w:rsid w:val="0053051C"/>
    <w:rsid w:val="0053738A"/>
    <w:rsid w:val="005814A7"/>
    <w:rsid w:val="005F2B9A"/>
    <w:rsid w:val="00627ECB"/>
    <w:rsid w:val="00630623"/>
    <w:rsid w:val="00640F88"/>
    <w:rsid w:val="006F7839"/>
    <w:rsid w:val="00722FA7"/>
    <w:rsid w:val="007D2490"/>
    <w:rsid w:val="0083180C"/>
    <w:rsid w:val="008717E7"/>
    <w:rsid w:val="009020F4"/>
    <w:rsid w:val="009D2601"/>
    <w:rsid w:val="00A26A19"/>
    <w:rsid w:val="00A402C6"/>
    <w:rsid w:val="00A47D3D"/>
    <w:rsid w:val="00A76C71"/>
    <w:rsid w:val="00AD2DE4"/>
    <w:rsid w:val="00AE4815"/>
    <w:rsid w:val="00AF549B"/>
    <w:rsid w:val="00B0116C"/>
    <w:rsid w:val="00B050E9"/>
    <w:rsid w:val="00B453CB"/>
    <w:rsid w:val="00B55C63"/>
    <w:rsid w:val="00B55F41"/>
    <w:rsid w:val="00BC6704"/>
    <w:rsid w:val="00C401E5"/>
    <w:rsid w:val="00C83B2C"/>
    <w:rsid w:val="00CE4C59"/>
    <w:rsid w:val="00D01713"/>
    <w:rsid w:val="00D26A36"/>
    <w:rsid w:val="00D27179"/>
    <w:rsid w:val="00D55825"/>
    <w:rsid w:val="00DE15AE"/>
    <w:rsid w:val="00E45386"/>
    <w:rsid w:val="00EC6281"/>
    <w:rsid w:val="00ED3866"/>
    <w:rsid w:val="00EF1C6B"/>
    <w:rsid w:val="00F243E2"/>
    <w:rsid w:val="00F74552"/>
    <w:rsid w:val="00F85758"/>
    <w:rsid w:val="00FE50AE"/>
    <w:rsid w:val="011619D5"/>
    <w:rsid w:val="018B355F"/>
    <w:rsid w:val="024977BB"/>
    <w:rsid w:val="034C35E4"/>
    <w:rsid w:val="04684E16"/>
    <w:rsid w:val="04926CF2"/>
    <w:rsid w:val="04F362FC"/>
    <w:rsid w:val="05A13C39"/>
    <w:rsid w:val="05DF0C97"/>
    <w:rsid w:val="06AF6C91"/>
    <w:rsid w:val="06B96DF1"/>
    <w:rsid w:val="07427A65"/>
    <w:rsid w:val="08255181"/>
    <w:rsid w:val="086811F9"/>
    <w:rsid w:val="08F54415"/>
    <w:rsid w:val="092513DB"/>
    <w:rsid w:val="094012E4"/>
    <w:rsid w:val="09890CF1"/>
    <w:rsid w:val="0A5B05B1"/>
    <w:rsid w:val="0AC76C86"/>
    <w:rsid w:val="0BAC1EC3"/>
    <w:rsid w:val="0BE5390D"/>
    <w:rsid w:val="0BF5512F"/>
    <w:rsid w:val="0C0617A3"/>
    <w:rsid w:val="0D08548C"/>
    <w:rsid w:val="0DEB0C19"/>
    <w:rsid w:val="107C63BF"/>
    <w:rsid w:val="10A05F1C"/>
    <w:rsid w:val="112253B8"/>
    <w:rsid w:val="11502F87"/>
    <w:rsid w:val="11B0026D"/>
    <w:rsid w:val="12493002"/>
    <w:rsid w:val="12515C87"/>
    <w:rsid w:val="14592BF5"/>
    <w:rsid w:val="15850CA3"/>
    <w:rsid w:val="15965CE5"/>
    <w:rsid w:val="15D13248"/>
    <w:rsid w:val="15F479EB"/>
    <w:rsid w:val="16291CDF"/>
    <w:rsid w:val="16F43A3F"/>
    <w:rsid w:val="17397126"/>
    <w:rsid w:val="17D2616B"/>
    <w:rsid w:val="181E065C"/>
    <w:rsid w:val="186854F1"/>
    <w:rsid w:val="19C51626"/>
    <w:rsid w:val="1A173850"/>
    <w:rsid w:val="1A365119"/>
    <w:rsid w:val="1A3F1B4F"/>
    <w:rsid w:val="1A3F2E17"/>
    <w:rsid w:val="1AA46F49"/>
    <w:rsid w:val="1B037C30"/>
    <w:rsid w:val="1B4A4ED5"/>
    <w:rsid w:val="1BF0351F"/>
    <w:rsid w:val="1C0029DC"/>
    <w:rsid w:val="1C906F25"/>
    <w:rsid w:val="1E660C08"/>
    <w:rsid w:val="1E6A555B"/>
    <w:rsid w:val="1FBA3B63"/>
    <w:rsid w:val="20164802"/>
    <w:rsid w:val="203E6FA4"/>
    <w:rsid w:val="207A4C24"/>
    <w:rsid w:val="20CD0062"/>
    <w:rsid w:val="2106178E"/>
    <w:rsid w:val="213D4F50"/>
    <w:rsid w:val="21592DB6"/>
    <w:rsid w:val="219E6A95"/>
    <w:rsid w:val="21B574F4"/>
    <w:rsid w:val="21BA5D48"/>
    <w:rsid w:val="21BF7F6B"/>
    <w:rsid w:val="22B465EB"/>
    <w:rsid w:val="22B571CB"/>
    <w:rsid w:val="232A40C1"/>
    <w:rsid w:val="241D694B"/>
    <w:rsid w:val="24314445"/>
    <w:rsid w:val="26403A28"/>
    <w:rsid w:val="26B84758"/>
    <w:rsid w:val="26E448CB"/>
    <w:rsid w:val="26F17DBE"/>
    <w:rsid w:val="27387775"/>
    <w:rsid w:val="28317ACF"/>
    <w:rsid w:val="291F14E2"/>
    <w:rsid w:val="29BA075B"/>
    <w:rsid w:val="2AC5298D"/>
    <w:rsid w:val="2B2A72A3"/>
    <w:rsid w:val="2B371AA4"/>
    <w:rsid w:val="2B937503"/>
    <w:rsid w:val="2CA707CD"/>
    <w:rsid w:val="2CE71C3D"/>
    <w:rsid w:val="2D0C4979"/>
    <w:rsid w:val="2D363BF0"/>
    <w:rsid w:val="2DA13818"/>
    <w:rsid w:val="2EF714FF"/>
    <w:rsid w:val="2F5739E0"/>
    <w:rsid w:val="2F6230A6"/>
    <w:rsid w:val="31BB42DC"/>
    <w:rsid w:val="340E59D9"/>
    <w:rsid w:val="346053E0"/>
    <w:rsid w:val="348261C7"/>
    <w:rsid w:val="34910A7F"/>
    <w:rsid w:val="34AE75C9"/>
    <w:rsid w:val="35110CF2"/>
    <w:rsid w:val="378E71C4"/>
    <w:rsid w:val="37A82FD8"/>
    <w:rsid w:val="37DB4908"/>
    <w:rsid w:val="38335AE6"/>
    <w:rsid w:val="38AA2178"/>
    <w:rsid w:val="38D60CF9"/>
    <w:rsid w:val="392D46D7"/>
    <w:rsid w:val="39A21197"/>
    <w:rsid w:val="39BE3146"/>
    <w:rsid w:val="3A3B3B69"/>
    <w:rsid w:val="3B686C92"/>
    <w:rsid w:val="3B6B0524"/>
    <w:rsid w:val="3BEC43F4"/>
    <w:rsid w:val="3C736CA5"/>
    <w:rsid w:val="3C852B6D"/>
    <w:rsid w:val="3D6707DE"/>
    <w:rsid w:val="3E090113"/>
    <w:rsid w:val="3E9A3EBD"/>
    <w:rsid w:val="3EC12C56"/>
    <w:rsid w:val="3ECC05D1"/>
    <w:rsid w:val="3F3B07B2"/>
    <w:rsid w:val="3FF358FB"/>
    <w:rsid w:val="3FF46B9A"/>
    <w:rsid w:val="4026661D"/>
    <w:rsid w:val="41A77903"/>
    <w:rsid w:val="421F0938"/>
    <w:rsid w:val="436A1FA5"/>
    <w:rsid w:val="43DF6AB2"/>
    <w:rsid w:val="447A03E9"/>
    <w:rsid w:val="44C4310F"/>
    <w:rsid w:val="45912B36"/>
    <w:rsid w:val="45FC5159"/>
    <w:rsid w:val="464372CD"/>
    <w:rsid w:val="469E7D8F"/>
    <w:rsid w:val="47C63392"/>
    <w:rsid w:val="48CA4E98"/>
    <w:rsid w:val="48E56384"/>
    <w:rsid w:val="491362C8"/>
    <w:rsid w:val="49437007"/>
    <w:rsid w:val="49AD4BBA"/>
    <w:rsid w:val="49C65920"/>
    <w:rsid w:val="49EE6A34"/>
    <w:rsid w:val="4A0B5B78"/>
    <w:rsid w:val="4B0F5C55"/>
    <w:rsid w:val="4B3B0E9C"/>
    <w:rsid w:val="4B772C52"/>
    <w:rsid w:val="4BEA07D7"/>
    <w:rsid w:val="4C6B7847"/>
    <w:rsid w:val="4E054A3A"/>
    <w:rsid w:val="4E163FD2"/>
    <w:rsid w:val="4F9E5A56"/>
    <w:rsid w:val="4FE43D17"/>
    <w:rsid w:val="50454210"/>
    <w:rsid w:val="5061685E"/>
    <w:rsid w:val="51766CEE"/>
    <w:rsid w:val="51CC46ED"/>
    <w:rsid w:val="52B833B2"/>
    <w:rsid w:val="533D1AFD"/>
    <w:rsid w:val="53C2271F"/>
    <w:rsid w:val="53D14E65"/>
    <w:rsid w:val="54220D84"/>
    <w:rsid w:val="543F4C81"/>
    <w:rsid w:val="553750A4"/>
    <w:rsid w:val="5749226C"/>
    <w:rsid w:val="57BF4437"/>
    <w:rsid w:val="58F54EE2"/>
    <w:rsid w:val="593848AB"/>
    <w:rsid w:val="5AA44C18"/>
    <w:rsid w:val="5B0B50DF"/>
    <w:rsid w:val="5B1F46C4"/>
    <w:rsid w:val="5B2C096B"/>
    <w:rsid w:val="5BA81764"/>
    <w:rsid w:val="5BDB2006"/>
    <w:rsid w:val="5C163B2F"/>
    <w:rsid w:val="5C91170E"/>
    <w:rsid w:val="5DCB7161"/>
    <w:rsid w:val="5E310FB1"/>
    <w:rsid w:val="5F2B4604"/>
    <w:rsid w:val="5FAD482D"/>
    <w:rsid w:val="605C4E86"/>
    <w:rsid w:val="605F1881"/>
    <w:rsid w:val="60C056D5"/>
    <w:rsid w:val="61746581"/>
    <w:rsid w:val="61FC2E74"/>
    <w:rsid w:val="625F7B33"/>
    <w:rsid w:val="627A7D1A"/>
    <w:rsid w:val="63656A79"/>
    <w:rsid w:val="636742BA"/>
    <w:rsid w:val="63D12B27"/>
    <w:rsid w:val="64BB71DA"/>
    <w:rsid w:val="64FA052D"/>
    <w:rsid w:val="6589703A"/>
    <w:rsid w:val="65D75B90"/>
    <w:rsid w:val="663D37A6"/>
    <w:rsid w:val="675B5AB9"/>
    <w:rsid w:val="67A76D7F"/>
    <w:rsid w:val="693309D2"/>
    <w:rsid w:val="69A75BC3"/>
    <w:rsid w:val="6AE64730"/>
    <w:rsid w:val="6B146E2D"/>
    <w:rsid w:val="6B4F7688"/>
    <w:rsid w:val="6C2E5A3D"/>
    <w:rsid w:val="6D964751"/>
    <w:rsid w:val="6DC966EB"/>
    <w:rsid w:val="6E6229D8"/>
    <w:rsid w:val="6E9C2264"/>
    <w:rsid w:val="6ED920D9"/>
    <w:rsid w:val="6F732F20"/>
    <w:rsid w:val="6F9047AB"/>
    <w:rsid w:val="6FA8690F"/>
    <w:rsid w:val="7058031F"/>
    <w:rsid w:val="70732B06"/>
    <w:rsid w:val="70D87661"/>
    <w:rsid w:val="722D7391"/>
    <w:rsid w:val="726D3B37"/>
    <w:rsid w:val="72893710"/>
    <w:rsid w:val="72D85BC8"/>
    <w:rsid w:val="72DE7EE6"/>
    <w:rsid w:val="732E1A61"/>
    <w:rsid w:val="73986528"/>
    <w:rsid w:val="74445DAF"/>
    <w:rsid w:val="75647FCD"/>
    <w:rsid w:val="75AC5602"/>
    <w:rsid w:val="75CE698D"/>
    <w:rsid w:val="766846A9"/>
    <w:rsid w:val="76706E53"/>
    <w:rsid w:val="767E7205"/>
    <w:rsid w:val="77022698"/>
    <w:rsid w:val="772D1AAE"/>
    <w:rsid w:val="77445955"/>
    <w:rsid w:val="77B142A7"/>
    <w:rsid w:val="77B53E38"/>
    <w:rsid w:val="77D12C2E"/>
    <w:rsid w:val="77DB16D4"/>
    <w:rsid w:val="78070E95"/>
    <w:rsid w:val="786E5426"/>
    <w:rsid w:val="78755700"/>
    <w:rsid w:val="798A3A92"/>
    <w:rsid w:val="79C62A8B"/>
    <w:rsid w:val="79E84B66"/>
    <w:rsid w:val="7A7C6FFF"/>
    <w:rsid w:val="7B470FC6"/>
    <w:rsid w:val="7B533FAA"/>
    <w:rsid w:val="7B5C3842"/>
    <w:rsid w:val="7BD73647"/>
    <w:rsid w:val="7BEA0549"/>
    <w:rsid w:val="7BF30B3A"/>
    <w:rsid w:val="7CEB754A"/>
    <w:rsid w:val="7D644E81"/>
    <w:rsid w:val="7DD1747A"/>
    <w:rsid w:val="7DD70781"/>
    <w:rsid w:val="7E9D4A56"/>
    <w:rsid w:val="7F1C7F7D"/>
    <w:rsid w:val="7F794C90"/>
    <w:rsid w:val="7FCE4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39"/>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line="480" w:lineRule="auto"/>
      <w:ind w:left="0" w:right="0"/>
      <w:jc w:val="left"/>
    </w:pPr>
    <w:rPr>
      <w:rFonts w:hint="eastAsia" w:ascii="宋体" w:hAnsi="宋体" w:eastAsia="宋体" w:cs="宋体"/>
      <w:kern w:val="0"/>
      <w:sz w:val="18"/>
      <w:szCs w:val="18"/>
      <w:lang w:val="en-US" w:eastAsia="zh-CN" w:bidi="ar"/>
    </w:rPr>
  </w:style>
  <w:style w:type="character" w:styleId="9">
    <w:name w:val="FollowedHyperlink"/>
    <w:basedOn w:val="8"/>
    <w:qFormat/>
    <w:uiPriority w:val="0"/>
    <w:rPr>
      <w:color w:val="0F0F0F"/>
      <w:u w:val="none"/>
    </w:rPr>
  </w:style>
  <w:style w:type="character" w:styleId="10">
    <w:name w:val="Emphasis"/>
    <w:basedOn w:val="8"/>
    <w:qFormat/>
    <w:uiPriority w:val="0"/>
  </w:style>
  <w:style w:type="character" w:styleId="11">
    <w:name w:val="Hyperlink"/>
    <w:basedOn w:val="8"/>
    <w:unhideWhenUsed/>
    <w:qFormat/>
    <w:uiPriority w:val="99"/>
    <w:rPr>
      <w:color w:val="0563C1" w:themeColor="hyperlink"/>
      <w:u w:val="single"/>
      <w14:textFill>
        <w14:solidFill>
          <w14:schemeClr w14:val="hlink"/>
        </w14:solidFill>
      </w14:textFill>
    </w:rPr>
  </w:style>
  <w:style w:type="paragraph" w:customStyle="1" w:styleId="13">
    <w:name w:val="lxl"/>
    <w:basedOn w:val="1"/>
    <w:qFormat/>
    <w:uiPriority w:val="0"/>
    <w:pPr>
      <w:widowControl/>
      <w:spacing w:line="560" w:lineRule="exact"/>
    </w:pPr>
    <w:rPr>
      <w:rFonts w:ascii="Malgun Gothic Semilight" w:hAnsi="Malgun Gothic Semilight" w:eastAsia="方正仿宋_GBK"/>
      <w:sz w:val="30"/>
      <w:szCs w:val="30"/>
    </w:rPr>
  </w:style>
  <w:style w:type="character" w:customStyle="1" w:styleId="14">
    <w:name w:val="one"/>
    <w:basedOn w:val="8"/>
    <w:qFormat/>
    <w:uiPriority w:val="0"/>
    <w:rPr>
      <w:color w:val="003366"/>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1995</Words>
  <Characters>11375</Characters>
  <Lines>94</Lines>
  <Paragraphs>26</Paragraphs>
  <TotalTime>57</TotalTime>
  <ScaleCrop>false</ScaleCrop>
  <LinksUpToDate>false</LinksUpToDate>
  <CharactersWithSpaces>13344</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2018-10-26T03:03:42Z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