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27" w:hRule="atLeast"/>
        </w:trPr>
        <w:tc>
          <w:tcPr>
            <w:tcW w:w="8522" w:type="dxa"/>
          </w:tcPr>
          <w:p>
            <w:pPr>
              <w:jc w:val="center"/>
              <w:rPr>
                <w:rFonts w:hint="eastAsia" w:ascii="仿宋_GB2312" w:eastAsia="仿宋_GB2312"/>
                <w:b/>
                <w:sz w:val="32"/>
                <w:szCs w:val="32"/>
              </w:rPr>
            </w:pPr>
          </w:p>
          <w:p>
            <w:pPr>
              <w:jc w:val="center"/>
              <w:rPr>
                <w:rFonts w:ascii="仿宋_GB2312" w:eastAsia="仿宋_GB2312"/>
                <w:b/>
                <w:sz w:val="32"/>
                <w:szCs w:val="32"/>
              </w:rPr>
            </w:pPr>
          </w:p>
          <w:p>
            <w:pPr>
              <w:jc w:val="center"/>
              <w:rPr>
                <w:rFonts w:ascii="黑体" w:hAnsi="黑体" w:eastAsia="黑体"/>
                <w:b/>
                <w:sz w:val="36"/>
                <w:szCs w:val="36"/>
              </w:rPr>
            </w:pPr>
            <w:r>
              <w:rPr>
                <w:rFonts w:hint="eastAsia" w:ascii="黑体" w:hAnsi="黑体" w:eastAsia="黑体"/>
                <w:b/>
                <w:sz w:val="36"/>
                <w:szCs w:val="36"/>
              </w:rPr>
              <w:t>武汉市市直预算项目</w:t>
            </w:r>
          </w:p>
          <w:p>
            <w:pPr>
              <w:jc w:val="center"/>
              <w:rPr>
                <w:rFonts w:ascii="黑体" w:hAnsi="黑体" w:eastAsia="黑体"/>
                <w:b/>
                <w:sz w:val="32"/>
                <w:szCs w:val="32"/>
              </w:rPr>
            </w:pPr>
            <w:r>
              <w:rPr>
                <w:rFonts w:hint="eastAsia" w:ascii="黑体" w:hAnsi="黑体" w:eastAsia="黑体"/>
                <w:b/>
                <w:sz w:val="36"/>
                <w:szCs w:val="36"/>
              </w:rPr>
              <w:t>绩效自评报告</w:t>
            </w:r>
          </w:p>
          <w:p>
            <w:pPr>
              <w:jc w:val="center"/>
              <w:rPr>
                <w:rFonts w:ascii="黑体" w:hAnsi="黑体" w:eastAsia="黑体"/>
                <w:b/>
                <w:bCs/>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 xml:space="preserve">          </w:t>
            </w:r>
            <w:r>
              <w:rPr>
                <w:rFonts w:hint="eastAsia" w:ascii="黑体" w:hAnsi="黑体" w:eastAsia="黑体"/>
                <w:bCs/>
                <w:sz w:val="32"/>
                <w:szCs w:val="32"/>
              </w:rPr>
              <w:t>项目名称：水务工程质量安全监督业务经费</w:t>
            </w:r>
          </w:p>
          <w:p>
            <w:pPr>
              <w:tabs>
                <w:tab w:val="center" w:pos="4153"/>
              </w:tabs>
              <w:ind w:left="3196" w:leftChars="760" w:hanging="1600" w:hangingChars="500"/>
              <w:rPr>
                <w:rFonts w:hint="eastAsia" w:ascii="黑体" w:hAnsi="黑体" w:eastAsia="黑体"/>
                <w:bCs/>
                <w:sz w:val="32"/>
                <w:szCs w:val="32"/>
              </w:rPr>
            </w:pPr>
            <w:r>
              <w:rPr>
                <w:rFonts w:hint="eastAsia" w:ascii="黑体" w:hAnsi="黑体" w:eastAsia="黑体"/>
                <w:bCs/>
                <w:sz w:val="32"/>
                <w:szCs w:val="32"/>
              </w:rPr>
              <w:t>项目单位：武汉市水务工程质量安全监督站</w:t>
            </w:r>
          </w:p>
          <w:p>
            <w:pPr>
              <w:ind w:firstLine="1600" w:firstLineChars="500"/>
              <w:rPr>
                <w:rFonts w:ascii="黑体" w:hAnsi="黑体" w:eastAsia="黑体"/>
                <w:bCs/>
                <w:sz w:val="32"/>
                <w:szCs w:val="32"/>
              </w:rPr>
            </w:pPr>
            <w:r>
              <w:rPr>
                <w:rFonts w:hint="eastAsia" w:ascii="黑体" w:hAnsi="黑体" w:eastAsia="黑体"/>
                <w:bCs/>
                <w:sz w:val="32"/>
                <w:szCs w:val="32"/>
              </w:rPr>
              <w:t>主管部门：武汉市水务局</w:t>
            </w:r>
          </w:p>
          <w:p>
            <w:pPr>
              <w:ind w:firstLine="1600" w:firstLineChars="500"/>
              <w:rPr>
                <w:rFonts w:ascii="黑体" w:hAnsi="黑体" w:eastAsia="黑体"/>
                <w:bCs/>
                <w:sz w:val="32"/>
                <w:szCs w:val="32"/>
              </w:rPr>
            </w:pPr>
            <w:r>
              <w:rPr>
                <w:rFonts w:hint="eastAsia" w:ascii="黑体" w:hAnsi="黑体" w:eastAsia="黑体"/>
                <w:bCs/>
                <w:sz w:val="32"/>
                <w:szCs w:val="32"/>
              </w:rPr>
              <w:t>报告时间：二○一八年七月</w:t>
            </w:r>
          </w:p>
          <w:p>
            <w:pPr>
              <w:jc w:val="center"/>
              <w:rPr>
                <w:rFonts w:ascii="黑体" w:hAnsi="黑体" w:eastAsia="黑体"/>
                <w:bCs/>
                <w:sz w:val="32"/>
                <w:szCs w:val="32"/>
              </w:rPr>
            </w:pPr>
          </w:p>
          <w:p>
            <w:pPr>
              <w:jc w:val="center"/>
              <w:rPr>
                <w:rFonts w:ascii="黑体" w:hAnsi="黑体" w:eastAsia="黑体"/>
                <w:bCs/>
                <w:sz w:val="32"/>
                <w:szCs w:val="32"/>
              </w:rPr>
            </w:pPr>
          </w:p>
          <w:p>
            <w:pPr>
              <w:jc w:val="center"/>
              <w:rPr>
                <w:rFonts w:ascii="黑体" w:hAnsi="黑体" w:eastAsia="黑体"/>
                <w:bCs/>
                <w:sz w:val="32"/>
                <w:szCs w:val="32"/>
              </w:rPr>
            </w:pPr>
          </w:p>
          <w:p>
            <w:pPr>
              <w:jc w:val="center"/>
              <w:rPr>
                <w:rFonts w:ascii="仿宋_GB2312" w:eastAsia="仿宋_GB2312"/>
                <w:b/>
                <w:sz w:val="32"/>
                <w:szCs w:val="32"/>
              </w:rPr>
            </w:pPr>
          </w:p>
          <w:p>
            <w:pPr>
              <w:jc w:val="center"/>
              <w:rPr>
                <w:rFonts w:ascii="仿宋_GB2312" w:eastAsia="仿宋_GB2312"/>
                <w:b/>
                <w:sz w:val="32"/>
                <w:szCs w:val="32"/>
              </w:rPr>
            </w:pPr>
          </w:p>
        </w:tc>
      </w:tr>
    </w:tbl>
    <w:p/>
    <w:p/>
    <w:p/>
    <w:p>
      <w:pPr>
        <w:spacing w:line="360" w:lineRule="auto"/>
        <w:jc w:val="both"/>
        <w:outlineLvl w:val="0"/>
        <w:rPr>
          <w:rFonts w:ascii="黑体" w:hAnsi="黑体" w:eastAsia="黑体" w:cs="黑体"/>
          <w:bCs/>
          <w:kern w:val="2"/>
          <w:sz w:val="28"/>
          <w:szCs w:val="28"/>
          <w:lang w:val="en-US" w:eastAsia="zh-CN" w:bidi="ar-SA"/>
        </w:rPr>
        <w:sectPr>
          <w:footerReference r:id="rId3" w:type="default"/>
          <w:pgSz w:w="11906" w:h="16838"/>
          <w:pgMar w:top="1440" w:right="1800" w:bottom="1440" w:left="1800" w:header="851" w:footer="992" w:gutter="0"/>
          <w:pgNumType w:fmt="decimal" w:start="1"/>
          <w:cols w:space="720" w:num="1"/>
          <w:docGrid w:type="lines" w:linePitch="312" w:charSpace="0"/>
        </w:sectPr>
      </w:pPr>
      <w:bookmarkStart w:id="0" w:name="_Toc511502513"/>
      <w:bookmarkStart w:id="1" w:name="_Toc511502514"/>
    </w:p>
    <w:bookmarkEnd w:id="0"/>
    <w:p>
      <w:pPr>
        <w:spacing w:line="520" w:lineRule="exact"/>
        <w:outlineLvl w:val="0"/>
        <w:rPr>
          <w:rFonts w:hint="eastAsia" w:ascii="黑体" w:hAnsi="黑体" w:eastAsia="黑体" w:cs="黑体"/>
          <w:bCs/>
          <w:sz w:val="28"/>
          <w:szCs w:val="28"/>
          <w:lang w:eastAsia="zh-CN"/>
        </w:rPr>
      </w:pPr>
      <w:r>
        <w:rPr>
          <w:rFonts w:hint="eastAsia" w:ascii="黑体" w:hAnsi="黑体" w:eastAsia="黑体" w:cs="黑体"/>
          <w:b/>
          <w:sz w:val="36"/>
          <w:szCs w:val="36"/>
          <w:lang w:val="en-US" w:eastAsia="zh-CN"/>
        </w:rPr>
        <w:t xml:space="preserve"> </w:t>
      </w:r>
      <w:bookmarkStart w:id="53" w:name="_GoBack"/>
      <w:bookmarkEnd w:id="53"/>
    </w:p>
    <w:p>
      <w:pPr>
        <w:spacing w:line="520" w:lineRule="exact"/>
        <w:ind w:firstLine="560" w:firstLineChars="200"/>
        <w:outlineLvl w:val="0"/>
        <w:rPr>
          <w:rFonts w:ascii="黑体" w:hAnsi="黑体" w:eastAsia="黑体" w:cs="黑体"/>
          <w:bCs/>
          <w:sz w:val="28"/>
          <w:szCs w:val="28"/>
        </w:rPr>
      </w:pPr>
      <w:bookmarkStart w:id="2" w:name="_Toc517708009"/>
      <w:r>
        <w:rPr>
          <w:rFonts w:hint="eastAsia" w:ascii="黑体" w:hAnsi="黑体" w:eastAsia="黑体" w:cs="黑体"/>
          <w:bCs/>
          <w:sz w:val="28"/>
          <w:szCs w:val="28"/>
        </w:rPr>
        <w:t>一、项目基本情况</w:t>
      </w:r>
      <w:bookmarkEnd w:id="1"/>
      <w:bookmarkEnd w:id="2"/>
    </w:p>
    <w:p>
      <w:pPr>
        <w:spacing w:line="520" w:lineRule="exact"/>
        <w:ind w:firstLine="560" w:firstLineChars="200"/>
        <w:outlineLvl w:val="1"/>
        <w:rPr>
          <w:rFonts w:ascii="仿宋" w:hAnsi="仿宋" w:eastAsia="仿宋"/>
          <w:bCs/>
          <w:sz w:val="28"/>
          <w:szCs w:val="28"/>
        </w:rPr>
      </w:pPr>
      <w:bookmarkStart w:id="3" w:name="_Toc511502515"/>
      <w:bookmarkStart w:id="4" w:name="_Toc517708010"/>
      <w:r>
        <w:rPr>
          <w:rFonts w:hint="eastAsia" w:ascii="仿宋" w:hAnsi="仿宋" w:eastAsia="仿宋"/>
          <w:bCs/>
          <w:sz w:val="28"/>
          <w:szCs w:val="28"/>
        </w:rPr>
        <w:t>（一）</w:t>
      </w:r>
      <w:bookmarkEnd w:id="3"/>
      <w:r>
        <w:rPr>
          <w:rFonts w:hint="eastAsia" w:ascii="仿宋" w:hAnsi="仿宋" w:eastAsia="仿宋"/>
          <w:bCs/>
          <w:sz w:val="28"/>
          <w:szCs w:val="28"/>
        </w:rPr>
        <w:t>项目概况</w:t>
      </w:r>
      <w:bookmarkEnd w:id="4"/>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lang w:eastAsia="zh-CN"/>
        </w:rPr>
        <w:t>武汉市水务工程质量安全监督站</w:t>
      </w:r>
      <w:r>
        <w:rPr>
          <w:rFonts w:hint="eastAsia" w:ascii="仿宋" w:hAnsi="仿宋" w:eastAsia="仿宋"/>
          <w:bCs/>
          <w:sz w:val="28"/>
          <w:szCs w:val="28"/>
        </w:rPr>
        <w:t>主要</w:t>
      </w:r>
      <w:r>
        <w:rPr>
          <w:rFonts w:hint="eastAsia" w:ascii="仿宋" w:hAnsi="仿宋" w:eastAsia="仿宋"/>
          <w:bCs/>
          <w:sz w:val="28"/>
          <w:szCs w:val="28"/>
          <w:lang w:eastAsia="zh-CN"/>
        </w:rPr>
        <w:t>为</w:t>
      </w:r>
      <w:r>
        <w:rPr>
          <w:rFonts w:hint="eastAsia" w:ascii="仿宋" w:hAnsi="仿宋" w:eastAsia="仿宋"/>
          <w:bCs/>
          <w:sz w:val="28"/>
          <w:szCs w:val="28"/>
          <w:lang w:val="en-US" w:eastAsia="zh-CN"/>
        </w:rPr>
        <w:t>水务工程建设提供质量保障；承担武汉市七个中心城区、六个远城区和五个经济开发区的水利、提防、排渍、污水处理、城市供用水系统建设工程的质量安全监督和水务工程质量监督人员的专业培训。多年来，质监站很好的履行了水务工程质量监督职责，为武汉市水务工程质量提供了安全保障。水务工程质量安全监督业务经费项目的实施确保了大中型水务工程质量、安全监督全覆盖，以及重点水务工程质量“飞检”全覆盖，为武汉市全年水务工程无重大安全生产责任事故的发生提供了坚实的质量保障，2017年由质监站监管的武汉市后湖泵站三期机组改造及后湖四期泵站工程、武汉市港西二期泵站及配套管道工程等四项工程获湖北省水利工程建设文明工地。</w:t>
      </w:r>
    </w:p>
    <w:p>
      <w:pPr>
        <w:spacing w:line="520" w:lineRule="exact"/>
        <w:ind w:firstLine="560" w:firstLineChars="200"/>
        <w:outlineLvl w:val="1"/>
        <w:rPr>
          <w:rFonts w:ascii="仿宋" w:hAnsi="仿宋" w:eastAsia="仿宋"/>
          <w:bCs/>
          <w:sz w:val="28"/>
          <w:szCs w:val="28"/>
        </w:rPr>
      </w:pPr>
      <w:bookmarkStart w:id="5" w:name="_Toc517708011"/>
      <w:bookmarkStart w:id="6" w:name="_Toc511502516"/>
      <w:r>
        <w:rPr>
          <w:rFonts w:hint="eastAsia" w:ascii="仿宋" w:hAnsi="仿宋" w:eastAsia="仿宋"/>
          <w:bCs/>
          <w:sz w:val="28"/>
          <w:szCs w:val="28"/>
        </w:rPr>
        <w:t>（二）项目预算绩效目标</w:t>
      </w:r>
      <w:bookmarkEnd w:id="5"/>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项目绩效目标是</w:t>
      </w:r>
      <w:r>
        <w:rPr>
          <w:rFonts w:hint="eastAsia" w:ascii="仿宋" w:hAnsi="仿宋" w:eastAsia="仿宋"/>
          <w:bCs/>
          <w:sz w:val="28"/>
          <w:szCs w:val="28"/>
          <w:lang w:val="en-US" w:eastAsia="zh-CN"/>
        </w:rPr>
        <w:t>大中型水务工程质量、安全监督全覆盖；全年不发生一起因本单位失职造成的重大质量安全责任事故；重点水务工程质量“飞检”全覆盖</w:t>
      </w:r>
      <w:r>
        <w:rPr>
          <w:rFonts w:hint="eastAsia" w:ascii="仿宋" w:hAnsi="仿宋" w:eastAsia="仿宋"/>
          <w:bCs/>
          <w:sz w:val="28"/>
          <w:szCs w:val="28"/>
        </w:rPr>
        <w:t>。具体绩效指标设置情况如下：</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lang w:val="en-US" w:eastAsia="zh-CN"/>
        </w:rPr>
        <w:t>水务工程质量安全监督业务经费</w:t>
      </w:r>
      <w:r>
        <w:rPr>
          <w:rFonts w:hint="eastAsia" w:ascii="仿宋" w:hAnsi="仿宋" w:eastAsia="仿宋"/>
          <w:bCs/>
          <w:sz w:val="28"/>
          <w:szCs w:val="28"/>
        </w:rPr>
        <w:t>项目绩效指标设置情况如下：</w:t>
      </w:r>
    </w:p>
    <w:tbl>
      <w:tblPr>
        <w:tblStyle w:val="12"/>
        <w:tblW w:w="83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26"/>
        <w:gridCol w:w="3405"/>
        <w:gridCol w:w="2790"/>
        <w:gridCol w:w="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35" w:hRule="atLeast"/>
          <w:tblHeader/>
        </w:trPr>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一级指标</w:t>
            </w: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二级指标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指标内容</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11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产出指标</w:t>
            </w: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数量指标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水务工程建设项目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190项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质量指标</w:t>
            </w:r>
          </w:p>
          <w:p>
            <w:pPr>
              <w:jc w:val="right"/>
              <w:rPr>
                <w:rFonts w:hint="eastAsia" w:ascii="仿宋" w:hAnsi="仿宋" w:eastAsia="仿宋" w:cs="仿宋"/>
                <w:bCs/>
                <w:kern w:val="2"/>
                <w:sz w:val="24"/>
                <w:szCs w:val="24"/>
                <w:lang w:val="en-US" w:eastAsia="zh-CN" w:bidi="ar-SA"/>
              </w:rPr>
            </w:pP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大中型水务工程报监率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jc w:val="center"/>
              <w:outlineLvl w:val="1"/>
              <w:rPr>
                <w:rFonts w:hint="eastAsia" w:ascii="仿宋" w:hAnsi="仿宋" w:eastAsia="仿宋" w:cs="仿宋"/>
                <w:bCs/>
                <w:sz w:val="24"/>
                <w:szCs w:val="24"/>
              </w:rPr>
            </w:pP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重点水务工程飞检率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时效指标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工程开工至工程竣工</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当年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成本指标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控制在预算内</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61.11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效益指标</w:t>
            </w: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经济效益指标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无直接经济效益</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jc w:val="center"/>
              <w:outlineLvl w:val="1"/>
              <w:rPr>
                <w:rFonts w:hint="eastAsia" w:ascii="仿宋" w:hAnsi="仿宋" w:eastAsia="仿宋" w:cs="仿宋"/>
                <w:bCs/>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社会效益指标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发挥工程设计的应有效益</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环境效益指标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发挥工程设计的应有效益</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可持续影响指标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发挥工程设计的应有效益</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outlineLvl w:val="1"/>
              <w:rPr>
                <w:rFonts w:hint="eastAsia" w:ascii="仿宋" w:hAnsi="仿宋" w:eastAsia="仿宋" w:cs="仿宋"/>
                <w:bCs/>
                <w:sz w:val="24"/>
                <w:szCs w:val="24"/>
              </w:rPr>
            </w:pPr>
          </w:p>
        </w:tc>
        <w:tc>
          <w:tcPr>
            <w:tcW w:w="34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社会公众或服务对象满意度指标</w:t>
            </w:r>
          </w:p>
        </w:tc>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公众满意</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lang w:val="en-US" w:eastAsia="zh-CN"/>
              </w:rPr>
              <w:t>95</w:t>
            </w:r>
          </w:p>
        </w:tc>
      </w:tr>
    </w:tbl>
    <w:p>
      <w:pPr>
        <w:spacing w:line="520" w:lineRule="exact"/>
        <w:ind w:firstLine="560" w:firstLineChars="200"/>
        <w:outlineLvl w:val="1"/>
        <w:rPr>
          <w:rFonts w:ascii="仿宋" w:hAnsi="仿宋" w:eastAsia="仿宋"/>
          <w:bCs/>
          <w:sz w:val="28"/>
          <w:szCs w:val="28"/>
        </w:rPr>
      </w:pPr>
      <w:bookmarkStart w:id="7" w:name="_Toc517708012"/>
      <w:r>
        <w:rPr>
          <w:rFonts w:hint="eastAsia" w:ascii="仿宋" w:hAnsi="仿宋" w:eastAsia="仿宋"/>
          <w:bCs/>
          <w:sz w:val="28"/>
          <w:szCs w:val="28"/>
        </w:rPr>
        <w:t>（三）经费来源及支出情况</w:t>
      </w:r>
      <w:bookmarkEnd w:id="6"/>
      <w:bookmarkEnd w:id="7"/>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2017年项目预算投资</w:t>
      </w:r>
      <w:r>
        <w:rPr>
          <w:rFonts w:hint="eastAsia" w:ascii="仿宋" w:hAnsi="仿宋" w:eastAsia="仿宋"/>
          <w:bCs/>
          <w:sz w:val="28"/>
          <w:szCs w:val="28"/>
          <w:lang w:val="en-US" w:eastAsia="zh-CN"/>
        </w:rPr>
        <w:t>61.11</w:t>
      </w:r>
      <w:r>
        <w:rPr>
          <w:rFonts w:hint="eastAsia" w:ascii="仿宋" w:hAnsi="仿宋" w:eastAsia="仿宋"/>
          <w:bCs/>
          <w:sz w:val="28"/>
          <w:szCs w:val="28"/>
        </w:rPr>
        <w:t>万元，其中一般公共预算财政拨款收入</w:t>
      </w:r>
      <w:r>
        <w:rPr>
          <w:rFonts w:hint="eastAsia" w:ascii="仿宋" w:hAnsi="仿宋" w:eastAsia="仿宋"/>
          <w:bCs/>
          <w:sz w:val="28"/>
          <w:szCs w:val="28"/>
          <w:lang w:val="en-US" w:eastAsia="zh-CN"/>
        </w:rPr>
        <w:t>61.11</w:t>
      </w:r>
      <w:r>
        <w:rPr>
          <w:rFonts w:hint="eastAsia" w:ascii="仿宋" w:hAnsi="仿宋" w:eastAsia="仿宋"/>
          <w:bCs/>
          <w:sz w:val="28"/>
          <w:szCs w:val="28"/>
        </w:rPr>
        <w:t>万元。项目预算投资具体情况：</w:t>
      </w:r>
      <w:r>
        <w:rPr>
          <w:rFonts w:hint="eastAsia" w:ascii="仿宋" w:hAnsi="仿宋" w:eastAsia="仿宋"/>
          <w:bCs/>
          <w:sz w:val="28"/>
          <w:szCs w:val="28"/>
          <w:lang w:val="en-US" w:eastAsia="zh-CN"/>
        </w:rPr>
        <w:t>水务工程质量监督检测费31.90</w:t>
      </w:r>
      <w:r>
        <w:rPr>
          <w:rFonts w:hint="eastAsia" w:ascii="仿宋" w:hAnsi="仿宋" w:eastAsia="仿宋"/>
          <w:bCs/>
          <w:sz w:val="28"/>
          <w:szCs w:val="28"/>
        </w:rPr>
        <w:t>万元、</w:t>
      </w:r>
      <w:r>
        <w:rPr>
          <w:rFonts w:hint="eastAsia" w:ascii="仿宋" w:hAnsi="仿宋" w:eastAsia="仿宋"/>
          <w:bCs/>
          <w:sz w:val="28"/>
          <w:szCs w:val="28"/>
          <w:lang w:val="en-US" w:eastAsia="zh-CN"/>
        </w:rPr>
        <w:t>业务培训费1.20</w:t>
      </w:r>
      <w:r>
        <w:rPr>
          <w:rFonts w:hint="eastAsia" w:ascii="仿宋" w:hAnsi="仿宋" w:eastAsia="仿宋"/>
          <w:bCs/>
          <w:sz w:val="28"/>
          <w:szCs w:val="28"/>
        </w:rPr>
        <w:t>万元、</w:t>
      </w:r>
      <w:r>
        <w:rPr>
          <w:rFonts w:hint="eastAsia" w:ascii="仿宋" w:hAnsi="仿宋" w:eastAsia="仿宋"/>
          <w:bCs/>
          <w:sz w:val="28"/>
          <w:szCs w:val="28"/>
          <w:lang w:val="en-US" w:eastAsia="zh-CN"/>
        </w:rPr>
        <w:t>聘用人员经费25.81</w:t>
      </w:r>
      <w:r>
        <w:rPr>
          <w:rFonts w:hint="eastAsia" w:ascii="仿宋" w:hAnsi="仿宋" w:eastAsia="仿宋"/>
          <w:bCs/>
          <w:sz w:val="28"/>
          <w:szCs w:val="28"/>
        </w:rPr>
        <w:t>万元，</w:t>
      </w:r>
      <w:r>
        <w:rPr>
          <w:rFonts w:hint="eastAsia" w:ascii="仿宋" w:hAnsi="仿宋" w:eastAsia="仿宋"/>
          <w:bCs/>
          <w:sz w:val="28"/>
          <w:szCs w:val="28"/>
          <w:lang w:val="en-US" w:eastAsia="zh-CN"/>
        </w:rPr>
        <w:t>公务用车运行维护费1</w:t>
      </w:r>
      <w:r>
        <w:rPr>
          <w:rFonts w:hint="eastAsia" w:ascii="仿宋" w:hAnsi="仿宋" w:eastAsia="仿宋"/>
          <w:bCs/>
          <w:sz w:val="28"/>
          <w:szCs w:val="28"/>
        </w:rPr>
        <w:t>万元，</w:t>
      </w:r>
      <w:r>
        <w:rPr>
          <w:rFonts w:hint="eastAsia" w:ascii="仿宋" w:hAnsi="仿宋" w:eastAsia="仿宋"/>
          <w:bCs/>
          <w:sz w:val="28"/>
          <w:szCs w:val="28"/>
          <w:lang w:val="en-US" w:eastAsia="zh-CN"/>
        </w:rPr>
        <w:t>其他商品和服务支出1.20</w:t>
      </w:r>
      <w:r>
        <w:rPr>
          <w:rFonts w:hint="eastAsia" w:ascii="仿宋" w:hAnsi="仿宋" w:eastAsia="仿宋"/>
          <w:bCs/>
          <w:sz w:val="28"/>
          <w:szCs w:val="28"/>
        </w:rPr>
        <w:t>万元。</w:t>
      </w:r>
    </w:p>
    <w:p>
      <w:pPr>
        <w:spacing w:line="520" w:lineRule="exact"/>
        <w:ind w:firstLine="562" w:firstLineChars="200"/>
        <w:outlineLvl w:val="0"/>
        <w:rPr>
          <w:rFonts w:ascii="黑体" w:hAnsi="黑体" w:eastAsia="黑体" w:cs="黑体"/>
          <w:b/>
          <w:bCs/>
          <w:sz w:val="28"/>
          <w:szCs w:val="28"/>
        </w:rPr>
      </w:pPr>
      <w:bookmarkStart w:id="8" w:name="_Toc511502532"/>
      <w:bookmarkStart w:id="9" w:name="_Toc7334"/>
      <w:bookmarkStart w:id="10" w:name="_Toc517708013"/>
      <w:bookmarkStart w:id="11" w:name="_Toc1201_WPSOffice_Level1"/>
      <w:r>
        <w:rPr>
          <w:rFonts w:hint="eastAsia" w:ascii="黑体" w:hAnsi="黑体" w:eastAsia="黑体" w:cs="黑体"/>
          <w:b/>
          <w:bCs/>
          <w:sz w:val="28"/>
          <w:szCs w:val="28"/>
        </w:rPr>
        <w:t>二、绩效评价工作情况</w:t>
      </w:r>
      <w:bookmarkEnd w:id="8"/>
      <w:bookmarkEnd w:id="9"/>
      <w:bookmarkEnd w:id="10"/>
      <w:bookmarkEnd w:id="11"/>
    </w:p>
    <w:p>
      <w:pPr>
        <w:spacing w:line="560" w:lineRule="exact"/>
        <w:ind w:firstLine="560" w:firstLineChars="200"/>
        <w:outlineLvl w:val="1"/>
        <w:rPr>
          <w:rFonts w:ascii="仿宋" w:hAnsi="仿宋" w:eastAsia="仿宋"/>
          <w:sz w:val="28"/>
          <w:szCs w:val="28"/>
        </w:rPr>
      </w:pPr>
      <w:bookmarkStart w:id="12" w:name="_Toc511502533"/>
      <w:bookmarkStart w:id="13" w:name="_Toc517708014"/>
      <w:bookmarkStart w:id="14" w:name="_Toc19011"/>
      <w:r>
        <w:rPr>
          <w:rFonts w:hint="eastAsia" w:ascii="仿宋" w:hAnsi="仿宋" w:eastAsia="仿宋"/>
          <w:sz w:val="28"/>
          <w:szCs w:val="28"/>
        </w:rPr>
        <w:t>（一）绩效评价目的</w:t>
      </w:r>
      <w:bookmarkEnd w:id="12"/>
      <w:bookmarkEnd w:id="13"/>
      <w:bookmarkEnd w:id="14"/>
    </w:p>
    <w:p>
      <w:pPr>
        <w:spacing w:line="520" w:lineRule="exact"/>
        <w:ind w:firstLine="560" w:firstLineChars="200"/>
        <w:rPr>
          <w:rFonts w:ascii="仿宋" w:hAnsi="仿宋" w:eastAsia="仿宋"/>
          <w:sz w:val="28"/>
          <w:szCs w:val="28"/>
        </w:rPr>
      </w:pPr>
      <w:r>
        <w:rPr>
          <w:rFonts w:hint="eastAsia" w:ascii="仿宋" w:hAnsi="仿宋" w:eastAsia="仿宋"/>
          <w:sz w:val="28"/>
          <w:szCs w:val="28"/>
        </w:rPr>
        <w:t>通过绩效评价，形成真实完整、数据准确、分析透彻、逻辑清晰、客观公正的绩效评价结论，为后期</w:t>
      </w:r>
      <w:r>
        <w:rPr>
          <w:rFonts w:hint="eastAsia" w:ascii="仿宋" w:hAnsi="仿宋" w:eastAsia="仿宋"/>
          <w:bCs/>
          <w:sz w:val="28"/>
          <w:szCs w:val="28"/>
          <w:lang w:eastAsia="zh-CN"/>
        </w:rPr>
        <w:t>武汉市水务工程质量安全监督站</w:t>
      </w:r>
      <w:r>
        <w:rPr>
          <w:rFonts w:hint="eastAsia" w:ascii="仿宋" w:hAnsi="仿宋" w:eastAsia="仿宋"/>
          <w:sz w:val="28"/>
          <w:szCs w:val="28"/>
        </w:rPr>
        <w:t>强化预算绩效管理提供重要依据。通过绩效评价，从效率的角度分析，准确掌握</w:t>
      </w:r>
      <w:r>
        <w:rPr>
          <w:rFonts w:hint="eastAsia" w:ascii="仿宋" w:hAnsi="仿宋" w:eastAsia="仿宋"/>
          <w:bCs/>
          <w:sz w:val="28"/>
          <w:szCs w:val="28"/>
        </w:rPr>
        <w:t>项目</w:t>
      </w:r>
      <w:r>
        <w:rPr>
          <w:rFonts w:hint="eastAsia" w:ascii="仿宋" w:hAnsi="仿宋" w:eastAsia="仿宋"/>
          <w:sz w:val="28"/>
          <w:szCs w:val="28"/>
        </w:rPr>
        <w:t>的实施情况、资金使用情况，发现项目实施的困难和问题，总结项目实施的经验和教训，为项目实施的进一步深化提供有益帮助。</w:t>
      </w:r>
    </w:p>
    <w:p>
      <w:pPr>
        <w:spacing w:line="520" w:lineRule="exact"/>
        <w:ind w:firstLine="560" w:firstLineChars="200"/>
        <w:outlineLvl w:val="1"/>
        <w:rPr>
          <w:rFonts w:ascii="仿宋" w:hAnsi="仿宋" w:eastAsia="仿宋"/>
          <w:sz w:val="28"/>
          <w:szCs w:val="28"/>
        </w:rPr>
      </w:pPr>
      <w:bookmarkStart w:id="15" w:name="_Toc517708015"/>
      <w:bookmarkStart w:id="16" w:name="_Toc511502534"/>
      <w:bookmarkStart w:id="17" w:name="_Toc30201"/>
      <w:r>
        <w:rPr>
          <w:rFonts w:hint="eastAsia" w:ascii="仿宋" w:hAnsi="仿宋" w:eastAsia="仿宋"/>
          <w:sz w:val="28"/>
          <w:szCs w:val="28"/>
        </w:rPr>
        <w:t>（二）绩效评价框架</w:t>
      </w:r>
      <w:bookmarkEnd w:id="15"/>
      <w:bookmarkEnd w:id="16"/>
      <w:bookmarkEnd w:id="17"/>
    </w:p>
    <w:p>
      <w:pPr>
        <w:spacing w:line="520" w:lineRule="exact"/>
        <w:ind w:firstLine="560" w:firstLineChars="200"/>
        <w:rPr>
          <w:rFonts w:ascii="仿宋" w:hAnsi="仿宋" w:eastAsia="仿宋"/>
          <w:sz w:val="28"/>
          <w:szCs w:val="28"/>
        </w:rPr>
      </w:pPr>
      <w:r>
        <w:rPr>
          <w:rFonts w:hint="eastAsia" w:ascii="仿宋" w:hAnsi="仿宋" w:eastAsia="仿宋"/>
          <w:sz w:val="28"/>
          <w:szCs w:val="28"/>
        </w:rPr>
        <w:t>绩效评价框架是开展绩效评价的核心，绩效评价框架包括各级指标名称、权重、指标解释、指标说明、目标值、绩效标准和评分细则等方面。</w:t>
      </w:r>
      <w:r>
        <w:rPr>
          <w:rFonts w:hint="eastAsia" w:ascii="仿宋" w:hAnsi="仿宋" w:eastAsia="仿宋"/>
          <w:bCs/>
          <w:sz w:val="28"/>
          <w:szCs w:val="28"/>
        </w:rPr>
        <w:t>项目</w:t>
      </w:r>
      <w:r>
        <w:rPr>
          <w:rFonts w:hint="eastAsia" w:ascii="仿宋" w:hAnsi="仿宋" w:eastAsia="仿宋"/>
          <w:sz w:val="28"/>
          <w:szCs w:val="28"/>
        </w:rPr>
        <w:t>绩效评价指标体系的设计参照《湖北省财政支出绩效评价指标体系框架》，投入和过程在此框架的基础上结合项目的特点适当进行完善，产出和效果根据项目特点进行了细化。</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1.评价指标</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第一步，采用层次分析法，建立评价指标库。绩效评价将指标分为投入、过程、产出和效果四个层次，最终形成一个由多个相互联系的指标组成的多层次指标体系。</w:t>
      </w:r>
      <w:r>
        <w:rPr>
          <w:rFonts w:hint="eastAsia" w:ascii="仿宋" w:hAnsi="仿宋" w:eastAsia="仿宋"/>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AutoShape 48" o:spid="_x0000_s1026" o:spt="87" type="#_x0000_t87" style="position:absolute;left:0pt;margin-left:-267.75pt;margin-top:12pt;height:312pt;width:6pt;z-index:251659264;mso-width-relative:page;mso-height-relative:page;" filled="f" stroked="t" coordsize="21600,21600"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v:fill on="f" focussize="0,0"/>
                <v:stroke color="#000000" joinstyle="round"/>
                <v:imagedata o:title=""/>
                <o:lock v:ext="edit" aspectratio="f"/>
              </v:shape>
            </w:pict>
          </mc:Fallback>
        </mc:AlternateContent>
      </w:r>
      <w:r>
        <w:rPr>
          <w:rFonts w:hint="eastAsia" w:ascii="仿宋" w:hAnsi="仿宋" w:eastAsia="仿宋"/>
          <w:sz w:val="28"/>
          <w:szCs w:val="28"/>
        </w:rPr>
        <w:t>第二步，采用调查法，确定评价指标。评价指标体系建立后，对指标库中的指标进行分析、权衡、补充、选择，最后确定评价指标。在此基础上最终形成项目绩效评价指标体系，设置了4个一级指标、11个二级指标、</w:t>
      </w:r>
      <w:r>
        <w:rPr>
          <w:rFonts w:hint="eastAsia" w:ascii="仿宋" w:hAnsi="仿宋" w:eastAsia="仿宋"/>
          <w:sz w:val="28"/>
          <w:szCs w:val="28"/>
          <w:lang w:val="en-US" w:eastAsia="zh-CN"/>
        </w:rPr>
        <w:t>21</w:t>
      </w:r>
      <w:r>
        <w:rPr>
          <w:rFonts w:hint="eastAsia" w:ascii="仿宋" w:hAnsi="仿宋" w:eastAsia="仿宋"/>
          <w:sz w:val="28"/>
          <w:szCs w:val="28"/>
        </w:rPr>
        <w:t>个三级指标。</w:t>
      </w:r>
    </w:p>
    <w:p>
      <w:pPr>
        <w:tabs>
          <w:tab w:val="center" w:pos="4549"/>
        </w:tabs>
        <w:spacing w:line="360" w:lineRule="auto"/>
        <w:ind w:firstLine="700" w:firstLineChars="250"/>
        <w:jc w:val="left"/>
        <w:rPr>
          <w:rFonts w:ascii="仿宋" w:hAnsi="仿宋" w:eastAsia="仿宋"/>
          <w:sz w:val="28"/>
          <w:szCs w:val="28"/>
        </w:rPr>
      </w:pPr>
      <w:r>
        <w:rPr>
          <w:rFonts w:hint="eastAsia" w:ascii="宋体" w:hAnsi="宋体"/>
          <w:sz w:val="28"/>
          <w:szCs w:val="28"/>
        </w:rPr>
        <w:t>2.</w:t>
      </w:r>
      <w:r>
        <w:rPr>
          <w:rFonts w:hint="eastAsia" w:ascii="仿宋" w:hAnsi="仿宋" w:eastAsia="仿宋"/>
          <w:sz w:val="28"/>
          <w:szCs w:val="28"/>
        </w:rPr>
        <w:t>权重</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根据本项目特点及各指标维度、类别考评内容，确定各个指标相对于项目总体绩效的权重分值。最终确的项目投入权重为12%，项目过程权重值占28%，项目产出权重值占30%，项目效益权重值占30%。</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3.指标说明</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绩效评价指标体系指标说明确定了三级指标评分的要点，指出定性指标的评价核心，定量指标的指标实现值的计算公式、数据口径，说明了</w:t>
      </w:r>
      <w:r>
        <w:rPr>
          <w:rFonts w:hint="eastAsia" w:ascii="仿宋" w:hAnsi="仿宋" w:eastAsia="仿宋"/>
          <w:sz w:val="28"/>
          <w:szCs w:val="28"/>
          <w:highlight w:val="none"/>
          <w:lang w:val="en-US" w:eastAsia="zh-CN"/>
        </w:rPr>
        <w:t>21</w:t>
      </w:r>
      <w:r>
        <w:rPr>
          <w:rFonts w:hint="eastAsia" w:ascii="仿宋" w:hAnsi="仿宋" w:eastAsia="仿宋"/>
          <w:sz w:val="28"/>
          <w:szCs w:val="28"/>
          <w:highlight w:val="none"/>
        </w:rPr>
        <w:t>个三级指标</w:t>
      </w:r>
      <w:r>
        <w:rPr>
          <w:rFonts w:hint="eastAsia" w:ascii="仿宋" w:hAnsi="仿宋" w:eastAsia="仿宋"/>
          <w:sz w:val="28"/>
          <w:szCs w:val="28"/>
        </w:rPr>
        <w:t>设置的目的，指导三级指标评价的方向。</w:t>
      </w:r>
    </w:p>
    <w:p>
      <w:pPr>
        <w:spacing w:line="520" w:lineRule="exact"/>
        <w:ind w:firstLine="560" w:firstLineChars="200"/>
        <w:rPr>
          <w:rFonts w:ascii="仿宋" w:hAnsi="仿宋" w:eastAsia="仿宋"/>
          <w:sz w:val="28"/>
          <w:szCs w:val="28"/>
        </w:rPr>
      </w:pPr>
      <w:bookmarkStart w:id="18" w:name="_1460038730"/>
      <w:bookmarkEnd w:id="18"/>
      <w:bookmarkStart w:id="19" w:name="_1460181815"/>
      <w:bookmarkEnd w:id="19"/>
      <w:bookmarkStart w:id="20" w:name="_1460038655"/>
      <w:bookmarkEnd w:id="20"/>
      <w:bookmarkStart w:id="21" w:name="_1460038687"/>
      <w:bookmarkEnd w:id="21"/>
      <w:bookmarkStart w:id="22" w:name="_1460038714"/>
      <w:bookmarkEnd w:id="22"/>
      <w:bookmarkStart w:id="23" w:name="_1460038659"/>
      <w:bookmarkEnd w:id="23"/>
      <w:r>
        <w:rPr>
          <w:rFonts w:hint="eastAsia" w:ascii="仿宋" w:hAnsi="仿宋" w:eastAsia="仿宋"/>
          <w:sz w:val="28"/>
          <w:szCs w:val="28"/>
        </w:rPr>
        <w:t>4.指标目标值</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指标目标值是绩效评价指标的尺度，既要反映同类项目的先进水平，又要符合项目的实际绩效水平。</w:t>
      </w:r>
      <w:r>
        <w:rPr>
          <w:rFonts w:hint="eastAsia" w:ascii="仿宋" w:hAnsi="仿宋" w:eastAsia="仿宋"/>
          <w:bCs/>
          <w:sz w:val="28"/>
          <w:szCs w:val="28"/>
        </w:rPr>
        <w:t>项目</w:t>
      </w:r>
      <w:r>
        <w:rPr>
          <w:rFonts w:hint="eastAsia" w:ascii="仿宋" w:hAnsi="仿宋" w:eastAsia="仿宋"/>
          <w:sz w:val="28"/>
          <w:szCs w:val="28"/>
        </w:rPr>
        <w:t>绩效评价指标目标值以项目计划目标确定。</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5.绩效标准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此次绩效评价指标标准为行业标准和计划标准。项目管理和财务管理采用国家财务相关法律法规，产出和效果指标采用计划指标值作为绩效评价标准。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6.评分细则</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项目组对项目的实施进展情况对每个指标进行独立评价和打分，在此基础上形成项目的整体得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pPr>
        <w:spacing w:line="520" w:lineRule="exact"/>
        <w:ind w:firstLine="560" w:firstLineChars="200"/>
        <w:outlineLvl w:val="0"/>
        <w:rPr>
          <w:rFonts w:ascii="黑体" w:hAnsi="黑体" w:eastAsia="黑体" w:cs="黑体"/>
          <w:sz w:val="28"/>
          <w:szCs w:val="28"/>
        </w:rPr>
      </w:pPr>
      <w:bookmarkStart w:id="24" w:name="_Toc511502536"/>
      <w:bookmarkStart w:id="25" w:name="_Toc517708016"/>
      <w:bookmarkStart w:id="26" w:name="_Toc16081_WPSOffice_Level1"/>
      <w:r>
        <w:rPr>
          <w:rFonts w:hint="eastAsia" w:ascii="黑体" w:hAnsi="黑体" w:eastAsia="黑体" w:cs="黑体"/>
          <w:sz w:val="28"/>
          <w:szCs w:val="28"/>
        </w:rPr>
        <w:t>三、绩效分析及评价结论</w:t>
      </w:r>
      <w:bookmarkEnd w:id="24"/>
      <w:bookmarkEnd w:id="25"/>
      <w:bookmarkEnd w:id="26"/>
    </w:p>
    <w:p>
      <w:pPr>
        <w:spacing w:line="520" w:lineRule="exact"/>
        <w:ind w:firstLine="560" w:firstLineChars="200"/>
        <w:outlineLvl w:val="1"/>
        <w:rPr>
          <w:rFonts w:ascii="仿宋" w:hAnsi="仿宋" w:eastAsia="仿宋"/>
          <w:sz w:val="28"/>
          <w:szCs w:val="28"/>
        </w:rPr>
      </w:pPr>
      <w:bookmarkStart w:id="27" w:name="_Toc8923"/>
      <w:bookmarkStart w:id="28" w:name="_Toc517708017"/>
      <w:bookmarkStart w:id="29" w:name="_Toc511502539"/>
      <w:r>
        <w:rPr>
          <w:rFonts w:hint="eastAsia" w:ascii="仿宋" w:hAnsi="仿宋" w:eastAsia="仿宋"/>
          <w:sz w:val="28"/>
          <w:szCs w:val="28"/>
        </w:rPr>
        <w:t>（一）</w:t>
      </w:r>
      <w:bookmarkEnd w:id="27"/>
      <w:r>
        <w:rPr>
          <w:rFonts w:hint="eastAsia" w:ascii="仿宋" w:hAnsi="仿宋" w:eastAsia="仿宋"/>
          <w:sz w:val="28"/>
          <w:szCs w:val="28"/>
        </w:rPr>
        <w:t>绩效分析及绩效指标完成情况</w:t>
      </w:r>
      <w:bookmarkEnd w:id="28"/>
      <w:bookmarkEnd w:id="29"/>
    </w:p>
    <w:p>
      <w:pPr>
        <w:spacing w:line="520" w:lineRule="exact"/>
        <w:outlineLvl w:val="2"/>
        <w:rPr>
          <w:rFonts w:ascii="仿宋" w:hAnsi="仿宋" w:eastAsia="仿宋"/>
          <w:bCs/>
          <w:sz w:val="28"/>
          <w:szCs w:val="28"/>
        </w:rPr>
      </w:pPr>
      <w:r>
        <w:rPr>
          <w:rFonts w:hint="eastAsia" w:ascii="仿宋" w:hAnsi="仿宋" w:eastAsia="仿宋"/>
          <w:bCs/>
          <w:sz w:val="28"/>
          <w:szCs w:val="28"/>
        </w:rPr>
        <w:t xml:space="preserve">    </w:t>
      </w:r>
      <w:bookmarkStart w:id="30" w:name="_Toc517708018"/>
      <w:r>
        <w:rPr>
          <w:rFonts w:hint="eastAsia" w:ascii="仿宋" w:hAnsi="仿宋" w:eastAsia="仿宋"/>
          <w:bCs/>
          <w:sz w:val="28"/>
          <w:szCs w:val="28"/>
        </w:rPr>
        <w:t>1.项目投入</w:t>
      </w:r>
      <w:bookmarkEnd w:id="30"/>
    </w:p>
    <w:p>
      <w:pPr>
        <w:spacing w:line="520" w:lineRule="exact"/>
        <w:ind w:firstLine="560" w:firstLineChars="200"/>
        <w:rPr>
          <w:rFonts w:ascii="仿宋" w:hAnsi="仿宋" w:eastAsia="仿宋"/>
          <w:sz w:val="28"/>
          <w:szCs w:val="28"/>
        </w:rPr>
      </w:pPr>
      <w:r>
        <w:rPr>
          <w:rFonts w:hint="eastAsia" w:ascii="仿宋" w:hAnsi="仿宋" w:eastAsia="仿宋"/>
          <w:sz w:val="28"/>
          <w:szCs w:val="28"/>
        </w:rPr>
        <w:t>本项指标总分为12分，实际得分</w:t>
      </w:r>
      <w:r>
        <w:rPr>
          <w:rFonts w:hint="eastAsia" w:ascii="仿宋" w:hAnsi="仿宋" w:eastAsia="仿宋"/>
          <w:sz w:val="28"/>
          <w:szCs w:val="28"/>
          <w:lang w:val="en-US" w:eastAsia="zh-CN"/>
        </w:rPr>
        <w:t>10.98</w:t>
      </w:r>
      <w:r>
        <w:rPr>
          <w:rFonts w:hint="eastAsia" w:ascii="仿宋" w:hAnsi="仿宋" w:eastAsia="仿宋"/>
          <w:sz w:val="28"/>
          <w:szCs w:val="28"/>
        </w:rPr>
        <w:t>分，得分率</w:t>
      </w:r>
      <w:r>
        <w:rPr>
          <w:rFonts w:hint="eastAsia" w:ascii="仿宋" w:hAnsi="仿宋" w:eastAsia="仿宋"/>
          <w:sz w:val="28"/>
          <w:szCs w:val="28"/>
          <w:lang w:val="en-US" w:eastAsia="zh-CN"/>
        </w:rPr>
        <w:t>91.50</w:t>
      </w:r>
      <w:r>
        <w:rPr>
          <w:rFonts w:hint="eastAsia" w:ascii="仿宋" w:hAnsi="仿宋" w:eastAsia="仿宋"/>
          <w:sz w:val="28"/>
          <w:szCs w:val="28"/>
        </w:rPr>
        <w:t>%，项目投入具体评价如下：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（1）依据充分性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2017年水务工程质量安全监督业务经费项目立项依据充分，立项申请</w:t>
      </w:r>
      <w:r>
        <w:rPr>
          <w:rFonts w:hint="eastAsia" w:ascii="仿宋" w:hAnsi="仿宋" w:eastAsia="仿宋"/>
          <w:bCs/>
          <w:sz w:val="28"/>
          <w:szCs w:val="28"/>
          <w:lang w:val="en-US" w:eastAsia="zh-CN"/>
        </w:rPr>
        <w:t>理</w:t>
      </w:r>
      <w:r>
        <w:rPr>
          <w:rFonts w:hint="eastAsia" w:ascii="仿宋" w:hAnsi="仿宋" w:eastAsia="仿宋"/>
          <w:bCs/>
          <w:sz w:val="28"/>
          <w:szCs w:val="28"/>
        </w:rPr>
        <w:t>由符合规定，项目申报的主要内容完整，但测算依据及说明不具体。</w:t>
      </w:r>
    </w:p>
    <w:p>
      <w:pPr>
        <w:numPr>
          <w:ilvl w:val="0"/>
          <w:numId w:val="1"/>
        </w:numPr>
        <w:spacing w:line="520" w:lineRule="exact"/>
        <w:ind w:firstLine="560" w:firstLineChars="200"/>
        <w:rPr>
          <w:rFonts w:hint="eastAsia" w:ascii="仿宋" w:hAnsi="仿宋" w:eastAsia="仿宋"/>
          <w:bCs/>
          <w:sz w:val="28"/>
          <w:szCs w:val="28"/>
          <w:highlight w:val="none"/>
        </w:rPr>
      </w:pPr>
      <w:r>
        <w:rPr>
          <w:rFonts w:hint="eastAsia" w:ascii="仿宋" w:hAnsi="仿宋" w:eastAsia="仿宋"/>
          <w:bCs/>
          <w:sz w:val="28"/>
          <w:szCs w:val="28"/>
          <w:highlight w:val="none"/>
        </w:rPr>
        <w:t>目标合理性</w:t>
      </w:r>
    </w:p>
    <w:p>
      <w:pPr>
        <w:spacing w:line="520" w:lineRule="exact"/>
        <w:ind w:firstLine="560" w:firstLineChars="200"/>
        <w:rPr>
          <w:rFonts w:ascii="仿宋" w:hAnsi="仿宋" w:eastAsia="仿宋"/>
          <w:bCs/>
          <w:sz w:val="28"/>
          <w:szCs w:val="28"/>
          <w:highlight w:val="none"/>
        </w:rPr>
      </w:pPr>
      <w:r>
        <w:rPr>
          <w:rFonts w:hint="eastAsia" w:ascii="仿宋" w:hAnsi="仿宋" w:eastAsia="仿宋"/>
          <w:bCs/>
          <w:sz w:val="28"/>
          <w:szCs w:val="28"/>
          <w:highlight w:val="none"/>
        </w:rPr>
        <w:t>项目的实施最大限度</w:t>
      </w:r>
      <w:r>
        <w:rPr>
          <w:rFonts w:hint="eastAsia" w:ascii="仿宋" w:hAnsi="仿宋" w:eastAsia="仿宋"/>
          <w:bCs/>
          <w:sz w:val="28"/>
          <w:szCs w:val="28"/>
          <w:lang w:val="en-US" w:eastAsia="zh-CN"/>
        </w:rPr>
        <w:t>确保了大中型水务工程质量、安全监督全覆盖，以及重点水务工程质量“飞检”全覆盖，为武汉市全年水务工程无重大安全生产责任事故的发生提供了坚实的质量保障。</w:t>
      </w:r>
      <w:r>
        <w:rPr>
          <w:rFonts w:hint="eastAsia" w:ascii="仿宋" w:hAnsi="仿宋" w:eastAsia="仿宋"/>
          <w:bCs/>
          <w:sz w:val="28"/>
          <w:szCs w:val="28"/>
          <w:highlight w:val="none"/>
        </w:rPr>
        <w:t>绩效目标符合国家相关法律法规、武汉市经济发展规划，</w:t>
      </w:r>
      <w:r>
        <w:rPr>
          <w:rFonts w:hint="eastAsia" w:ascii="仿宋" w:hAnsi="仿宋" w:eastAsia="仿宋"/>
          <w:sz w:val="28"/>
          <w:szCs w:val="28"/>
        </w:rPr>
        <w:t>与项目实施单位职责密切相关</w:t>
      </w:r>
      <w:r>
        <w:rPr>
          <w:rFonts w:hint="eastAsia" w:ascii="仿宋" w:hAnsi="仿宋" w:eastAsia="仿宋"/>
          <w:bCs/>
          <w:sz w:val="28"/>
          <w:szCs w:val="28"/>
          <w:highlight w:val="none"/>
        </w:rPr>
        <w:t>，项目预期产出效益和效果符合正常的业绩水平。</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（3）指标明确性</w:t>
      </w:r>
    </w:p>
    <w:p>
      <w:pPr>
        <w:spacing w:line="520" w:lineRule="exact"/>
        <w:rPr>
          <w:rFonts w:ascii="仿宋" w:hAnsi="仿宋" w:eastAsia="仿宋"/>
          <w:bCs/>
          <w:sz w:val="28"/>
          <w:szCs w:val="28"/>
        </w:rPr>
      </w:pPr>
      <w:r>
        <w:rPr>
          <w:rFonts w:hint="eastAsia" w:ascii="仿宋" w:hAnsi="仿宋" w:eastAsia="仿宋"/>
          <w:bCs/>
          <w:sz w:val="28"/>
          <w:szCs w:val="28"/>
        </w:rPr>
        <w:t xml:space="preserve">    项目设立了年度绩效指标，指标设置较为科学，</w:t>
      </w:r>
      <w:r>
        <w:rPr>
          <w:rFonts w:hint="eastAsia" w:ascii="仿宋" w:hAnsi="仿宋" w:eastAsia="仿宋"/>
          <w:bCs/>
          <w:sz w:val="28"/>
          <w:szCs w:val="28"/>
          <w:lang w:val="en-US" w:eastAsia="zh-CN"/>
        </w:rPr>
        <w:t>但效益指标设置过于宽泛，无法清晰的体现年度绩效目标所应达到的既定效果</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（4）资金执行率</w:t>
      </w:r>
    </w:p>
    <w:p>
      <w:pPr>
        <w:spacing w:line="520" w:lineRule="exact"/>
        <w:ind w:firstLine="560" w:firstLineChars="200"/>
        <w:jc w:val="left"/>
        <w:rPr>
          <w:rFonts w:hint="eastAsia"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2017年项目支出预算</w:t>
      </w:r>
      <w:r>
        <w:rPr>
          <w:rFonts w:hint="eastAsia" w:ascii="仿宋" w:hAnsi="仿宋" w:eastAsia="仿宋"/>
          <w:bCs/>
          <w:sz w:val="28"/>
          <w:szCs w:val="28"/>
          <w:lang w:val="en-US" w:eastAsia="zh-CN"/>
        </w:rPr>
        <w:t>61.11</w:t>
      </w:r>
      <w:r>
        <w:rPr>
          <w:rFonts w:hint="eastAsia" w:ascii="仿宋" w:hAnsi="仿宋" w:eastAsia="仿宋"/>
          <w:bCs/>
          <w:sz w:val="28"/>
          <w:szCs w:val="28"/>
        </w:rPr>
        <w:t>万元，同口径预算实际支出</w:t>
      </w:r>
      <w:r>
        <w:rPr>
          <w:rFonts w:hint="eastAsia" w:ascii="仿宋" w:hAnsi="仿宋" w:eastAsia="仿宋"/>
          <w:bCs/>
          <w:sz w:val="28"/>
          <w:szCs w:val="28"/>
          <w:lang w:val="en-US" w:eastAsia="zh-CN"/>
        </w:rPr>
        <w:t>60.93</w:t>
      </w:r>
      <w:r>
        <w:rPr>
          <w:rFonts w:hint="eastAsia" w:ascii="仿宋" w:hAnsi="仿宋" w:eastAsia="仿宋"/>
          <w:bCs/>
          <w:sz w:val="28"/>
          <w:szCs w:val="28"/>
        </w:rPr>
        <w:t>万元，项目预算执行率为</w:t>
      </w:r>
      <w:r>
        <w:rPr>
          <w:rFonts w:hint="eastAsia" w:ascii="仿宋" w:hAnsi="仿宋" w:eastAsia="仿宋"/>
          <w:bCs/>
          <w:sz w:val="28"/>
          <w:szCs w:val="28"/>
          <w:lang w:val="en-US" w:eastAsia="zh-CN"/>
        </w:rPr>
        <w:t>99.71</w:t>
      </w:r>
      <w:r>
        <w:rPr>
          <w:rFonts w:ascii="仿宋" w:hAnsi="仿宋" w:eastAsia="仿宋"/>
          <w:bCs/>
          <w:sz w:val="28"/>
          <w:szCs w:val="28"/>
        </w:rPr>
        <w:t>%</w:t>
      </w:r>
      <w:r>
        <w:rPr>
          <w:rFonts w:hint="eastAsia" w:ascii="仿宋" w:hAnsi="仿宋" w:eastAsia="仿宋"/>
          <w:bCs/>
          <w:sz w:val="28"/>
          <w:szCs w:val="28"/>
        </w:rPr>
        <w:t>，具体情况如下表：</w:t>
      </w:r>
    </w:p>
    <w:tbl>
      <w:tblPr>
        <w:tblStyle w:val="12"/>
        <w:tblW w:w="82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65"/>
        <w:gridCol w:w="3960"/>
        <w:gridCol w:w="1245"/>
        <w:gridCol w:w="121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序号</w:t>
            </w: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项目名称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预算数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执行数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1</w:t>
            </w:r>
          </w:p>
        </w:tc>
        <w:tc>
          <w:tcPr>
            <w:tcW w:w="396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水务工程质量安全监督业务经费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61.11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60.93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8"/>
                <w:szCs w:val="28"/>
              </w:rPr>
            </w:pPr>
            <w:r>
              <w:rPr>
                <w:rFonts w:hint="eastAsia" w:ascii="仿宋" w:hAnsi="仿宋" w:eastAsia="仿宋"/>
                <w:bCs/>
                <w:sz w:val="28"/>
                <w:szCs w:val="28"/>
                <w:lang w:val="en-US" w:eastAsia="zh-CN"/>
              </w:rPr>
              <w:t>99.71%</w:t>
            </w:r>
          </w:p>
        </w:tc>
      </w:tr>
    </w:tbl>
    <w:p>
      <w:pPr>
        <w:spacing w:line="520" w:lineRule="exact"/>
        <w:ind w:firstLine="560" w:firstLineChars="200"/>
        <w:outlineLvl w:val="2"/>
        <w:rPr>
          <w:rFonts w:hint="eastAsia" w:ascii="仿宋" w:hAnsi="仿宋" w:eastAsia="仿宋"/>
          <w:bCs/>
          <w:sz w:val="28"/>
          <w:szCs w:val="28"/>
        </w:rPr>
      </w:pPr>
      <w:bookmarkStart w:id="31" w:name="_Toc517708019"/>
    </w:p>
    <w:p>
      <w:pPr>
        <w:spacing w:line="520" w:lineRule="exact"/>
        <w:ind w:firstLine="560" w:firstLineChars="200"/>
        <w:outlineLvl w:val="2"/>
        <w:rPr>
          <w:rFonts w:ascii="仿宋" w:hAnsi="仿宋" w:eastAsia="仿宋"/>
          <w:bCs/>
          <w:sz w:val="28"/>
          <w:szCs w:val="28"/>
        </w:rPr>
      </w:pPr>
      <w:r>
        <w:rPr>
          <w:rFonts w:hint="eastAsia" w:ascii="仿宋" w:hAnsi="仿宋" w:eastAsia="仿宋"/>
          <w:bCs/>
          <w:sz w:val="28"/>
          <w:szCs w:val="28"/>
        </w:rPr>
        <w:t>2.项目过程</w:t>
      </w:r>
      <w:bookmarkEnd w:id="31"/>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资金使用按照计划执行，符合国家财经法规和财务管理制度以及有关专项资管理办法的规定。项目资金拨付与使用有完整的审批流程和手续，独立核算，账簿齐全，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w:t>
      </w:r>
      <w:r>
        <w:rPr>
          <w:rFonts w:hint="eastAsia" w:ascii="仿宋" w:hAnsi="仿宋" w:eastAsia="仿宋"/>
          <w:bCs/>
          <w:sz w:val="28"/>
          <w:szCs w:val="28"/>
          <w:lang w:eastAsia="zh-CN"/>
        </w:rPr>
        <w:t>。</w:t>
      </w:r>
      <w:r>
        <w:rPr>
          <w:rFonts w:hint="eastAsia" w:ascii="仿宋" w:hAnsi="仿宋" w:eastAsia="仿宋"/>
          <w:bCs/>
          <w:sz w:val="28"/>
          <w:szCs w:val="28"/>
        </w:rPr>
        <w:t>本项指标总分为28分，实际得2</w:t>
      </w:r>
      <w:r>
        <w:rPr>
          <w:rFonts w:hint="eastAsia" w:ascii="仿宋" w:hAnsi="仿宋" w:eastAsia="仿宋"/>
          <w:bCs/>
          <w:sz w:val="28"/>
          <w:szCs w:val="28"/>
          <w:lang w:val="en-US" w:eastAsia="zh-CN"/>
        </w:rPr>
        <w:t>4</w:t>
      </w:r>
      <w:r>
        <w:rPr>
          <w:rFonts w:hint="eastAsia" w:ascii="仿宋" w:hAnsi="仿宋" w:eastAsia="仿宋"/>
          <w:bCs/>
          <w:sz w:val="28"/>
          <w:szCs w:val="28"/>
        </w:rPr>
        <w:t>分，得分率</w:t>
      </w:r>
      <w:r>
        <w:rPr>
          <w:rFonts w:hint="eastAsia" w:ascii="仿宋" w:hAnsi="仿宋" w:eastAsia="仿宋"/>
          <w:bCs/>
          <w:sz w:val="28"/>
          <w:szCs w:val="28"/>
          <w:lang w:val="en-US" w:eastAsia="zh-CN"/>
        </w:rPr>
        <w:t>85.71</w:t>
      </w:r>
      <w:r>
        <w:rPr>
          <w:rFonts w:hint="eastAsia" w:ascii="仿宋" w:hAnsi="仿宋" w:eastAsia="仿宋"/>
          <w:bCs/>
          <w:sz w:val="28"/>
          <w:szCs w:val="28"/>
        </w:rPr>
        <w:t>%,项目过程具体评价如下：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（1）财务管理制度健全性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为了规范和加强项目的财务管理，严格执行项目资金计划，根据</w:t>
      </w:r>
      <w:r>
        <w:rPr>
          <w:rFonts w:hint="eastAsia" w:ascii="仿宋" w:hAnsi="仿宋" w:eastAsia="仿宋"/>
          <w:sz w:val="28"/>
          <w:szCs w:val="28"/>
        </w:rPr>
        <w:t>《中华人民共和国会计法》、《行政单位会计准则》和《行政单位会计制度》等法律、法规，</w:t>
      </w:r>
      <w:r>
        <w:rPr>
          <w:rFonts w:hint="eastAsia" w:ascii="仿宋" w:hAnsi="仿宋" w:eastAsia="仿宋"/>
          <w:sz w:val="28"/>
          <w:szCs w:val="28"/>
          <w:lang w:eastAsia="zh-CN"/>
        </w:rPr>
        <w:t>武汉市水务工程质量安全监督站</w:t>
      </w:r>
      <w:r>
        <w:rPr>
          <w:rFonts w:hint="eastAsia" w:ascii="仿宋" w:hAnsi="仿宋" w:eastAsia="仿宋"/>
          <w:bCs/>
          <w:sz w:val="28"/>
          <w:szCs w:val="28"/>
        </w:rPr>
        <w:t>印发了制定和印发了《</w:t>
      </w:r>
      <w:r>
        <w:rPr>
          <w:rFonts w:hint="eastAsia" w:ascii="仿宋" w:hAnsi="仿宋" w:eastAsia="仿宋"/>
          <w:bCs/>
          <w:sz w:val="28"/>
          <w:szCs w:val="28"/>
          <w:lang w:eastAsia="zh-CN"/>
        </w:rPr>
        <w:t>武汉市水务工程质量安全监督站</w:t>
      </w:r>
      <w:r>
        <w:rPr>
          <w:rFonts w:hint="eastAsia" w:ascii="仿宋" w:hAnsi="仿宋" w:eastAsia="仿宋"/>
          <w:bCs/>
          <w:sz w:val="28"/>
          <w:szCs w:val="28"/>
        </w:rPr>
        <w:t>财务管理</w:t>
      </w:r>
      <w:r>
        <w:rPr>
          <w:rFonts w:hint="eastAsia" w:ascii="仿宋" w:hAnsi="仿宋" w:eastAsia="仿宋"/>
          <w:bCs/>
          <w:sz w:val="28"/>
          <w:szCs w:val="28"/>
          <w:lang w:val="en-US" w:eastAsia="zh-CN"/>
        </w:rPr>
        <w:t>制度</w:t>
      </w:r>
      <w:r>
        <w:rPr>
          <w:rFonts w:hint="eastAsia" w:ascii="仿宋" w:hAnsi="仿宋" w:eastAsia="仿宋"/>
          <w:bCs/>
          <w:sz w:val="28"/>
          <w:szCs w:val="28"/>
        </w:rPr>
        <w:t>》、《</w:t>
      </w:r>
      <w:r>
        <w:rPr>
          <w:rFonts w:hint="eastAsia" w:ascii="仿宋" w:hAnsi="仿宋" w:eastAsia="仿宋"/>
          <w:bCs/>
          <w:sz w:val="28"/>
          <w:szCs w:val="28"/>
          <w:lang w:eastAsia="zh-CN"/>
        </w:rPr>
        <w:t>武汉市水务工程质量安全监督站</w:t>
      </w:r>
      <w:r>
        <w:rPr>
          <w:rFonts w:hint="eastAsia" w:ascii="仿宋" w:hAnsi="仿宋" w:eastAsia="仿宋"/>
          <w:bCs/>
          <w:sz w:val="28"/>
          <w:szCs w:val="28"/>
        </w:rPr>
        <w:t>三公经费管理制度》、《</w:t>
      </w:r>
      <w:r>
        <w:rPr>
          <w:rFonts w:hint="eastAsia" w:ascii="仿宋" w:hAnsi="仿宋" w:eastAsia="仿宋"/>
          <w:bCs/>
          <w:sz w:val="28"/>
          <w:szCs w:val="28"/>
          <w:lang w:eastAsia="zh-CN"/>
        </w:rPr>
        <w:t>武汉市水务工程质量安全监督站</w:t>
      </w:r>
      <w:r>
        <w:rPr>
          <w:rFonts w:hint="eastAsia" w:ascii="仿宋" w:hAnsi="仿宋" w:eastAsia="仿宋"/>
          <w:bCs/>
          <w:sz w:val="28"/>
          <w:szCs w:val="28"/>
        </w:rPr>
        <w:t>会议管理制度》等系列管理制度，财务管理制度健全，建立严格的财务报销制度和严格印鉴管理机制。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（2）资金使用合规性</w:t>
      </w:r>
    </w:p>
    <w:p>
      <w:pPr>
        <w:keepNext w:val="0"/>
        <w:keepLines w:val="0"/>
        <w:widowControl/>
        <w:suppressLineNumbers w:val="0"/>
        <w:ind w:firstLine="560" w:firstLineChars="200"/>
        <w:jc w:val="left"/>
        <w:rPr>
          <w:rFonts w:hint="eastAsia"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项目实际支出与项目计划投入资金的用途</w:t>
      </w:r>
      <w:r>
        <w:rPr>
          <w:rFonts w:hint="eastAsia" w:ascii="仿宋" w:hAnsi="仿宋" w:eastAsia="仿宋"/>
          <w:bCs/>
          <w:sz w:val="28"/>
          <w:szCs w:val="28"/>
          <w:lang w:val="en-US" w:eastAsia="zh-CN"/>
        </w:rPr>
        <w:t>基本</w:t>
      </w:r>
      <w:r>
        <w:rPr>
          <w:rFonts w:hint="eastAsia" w:ascii="仿宋" w:hAnsi="仿宋" w:eastAsia="仿宋"/>
          <w:bCs/>
          <w:sz w:val="28"/>
          <w:szCs w:val="28"/>
        </w:rPr>
        <w:t>相符，符合《中华人民共和国会计法》、《中华人民共和国预算法》和《行政单位会计制度》的规定；资金的拨付有基本的审批程序和手续；不存在超标列支相关费用；</w:t>
      </w:r>
      <w:r>
        <w:rPr>
          <w:rFonts w:hint="eastAsia" w:ascii="仿宋" w:hAnsi="仿宋" w:eastAsia="仿宋"/>
          <w:bCs/>
          <w:sz w:val="28"/>
          <w:szCs w:val="28"/>
          <w:lang w:val="en-US" w:eastAsia="zh-CN"/>
        </w:rPr>
        <w:t>发票合法合规。</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（3）资金单独核算</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项目资金的会计核算严格执行了</w:t>
      </w:r>
      <w:r>
        <w:rPr>
          <w:rFonts w:hint="eastAsia" w:ascii="仿宋" w:hAnsi="仿宋" w:eastAsia="仿宋"/>
          <w:bCs/>
          <w:sz w:val="28"/>
          <w:szCs w:val="28"/>
          <w:lang w:eastAsia="zh-CN"/>
        </w:rPr>
        <w:t>《中华人民共和国会计法》、《事业单位会计准则》及《事业单位单位会计制度》管理规定</w:t>
      </w:r>
      <w:r>
        <w:rPr>
          <w:rFonts w:hint="eastAsia" w:ascii="仿宋" w:hAnsi="仿宋" w:eastAsia="仿宋"/>
          <w:bCs/>
          <w:sz w:val="28"/>
          <w:szCs w:val="28"/>
        </w:rPr>
        <w:t>，单独核算，按要求设置会计科目，建立账目。</w:t>
      </w:r>
    </w:p>
    <w:p>
      <w:pPr>
        <w:spacing w:line="520" w:lineRule="exact"/>
        <w:ind w:firstLine="560" w:firstLineChars="200"/>
        <w:rPr>
          <w:rFonts w:ascii="仿宋" w:hAnsi="仿宋" w:eastAsia="仿宋"/>
          <w:bCs/>
          <w:sz w:val="28"/>
          <w:szCs w:val="28"/>
          <w:highlight w:val="none"/>
        </w:rPr>
      </w:pPr>
      <w:r>
        <w:rPr>
          <w:rFonts w:hint="eastAsia" w:ascii="仿宋" w:hAnsi="仿宋" w:eastAsia="仿宋"/>
          <w:bCs/>
          <w:sz w:val="28"/>
          <w:szCs w:val="28"/>
          <w:highlight w:val="none"/>
        </w:rPr>
        <w:t>（4）财务信息质量</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 xml:space="preserve"> </w:t>
      </w:r>
      <w:r>
        <w:rPr>
          <w:rFonts w:hint="eastAsia" w:ascii="仿宋" w:hAnsi="仿宋" w:eastAsia="仿宋"/>
          <w:bCs/>
          <w:sz w:val="28"/>
          <w:szCs w:val="28"/>
          <w:highlight w:val="none"/>
        </w:rPr>
        <w:t>预算执行和财务管理比较规范，会计资料真实，会计处理和决算报告编制符合预算法、相关会计准则和会计制度的规定。资金通过财政直接直付、授权支付或其它方式进行结算。资金拨付使用严格按照程序执行，经办人提出申请，并注明用款理由和相关支出附件，经</w:t>
      </w:r>
      <w:r>
        <w:rPr>
          <w:rFonts w:hint="eastAsia" w:ascii="仿宋" w:hAnsi="仿宋" w:eastAsia="仿宋"/>
          <w:bCs/>
          <w:sz w:val="28"/>
          <w:szCs w:val="28"/>
          <w:highlight w:val="none"/>
          <w:lang w:val="en-US" w:eastAsia="zh-CN"/>
        </w:rPr>
        <w:t>综合室审核，由站</w:t>
      </w:r>
      <w:r>
        <w:rPr>
          <w:rFonts w:hint="eastAsia" w:ascii="仿宋" w:hAnsi="仿宋" w:eastAsia="仿宋"/>
          <w:bCs/>
          <w:sz w:val="28"/>
          <w:szCs w:val="28"/>
          <w:highlight w:val="none"/>
        </w:rPr>
        <w:t>领导</w:t>
      </w:r>
      <w:r>
        <w:rPr>
          <w:rFonts w:hint="eastAsia" w:ascii="仿宋" w:hAnsi="仿宋" w:eastAsia="仿宋"/>
          <w:bCs/>
          <w:sz w:val="28"/>
          <w:szCs w:val="28"/>
          <w:highlight w:val="none"/>
          <w:lang w:val="en-US" w:eastAsia="zh-CN"/>
        </w:rPr>
        <w:t>审批</w:t>
      </w:r>
      <w:r>
        <w:rPr>
          <w:rFonts w:hint="eastAsia" w:ascii="仿宋" w:hAnsi="仿宋" w:eastAsia="仿宋"/>
          <w:bCs/>
          <w:sz w:val="28"/>
          <w:szCs w:val="28"/>
          <w:highlight w:val="none"/>
        </w:rPr>
        <w:t>后通过财政直接支付或授权支付，以保证财政资金使用的安全。单位系统内部有比较完整的财务管理规定和制度，主管人员熟悉相关预算资金管理的法规</w:t>
      </w:r>
      <w:r>
        <w:rPr>
          <w:rFonts w:hint="eastAsia" w:ascii="仿宋" w:hAnsi="仿宋" w:eastAsia="仿宋"/>
          <w:bCs/>
          <w:sz w:val="28"/>
          <w:szCs w:val="28"/>
          <w:highlight w:val="none"/>
          <w:lang w:eastAsia="zh-CN"/>
        </w:rPr>
        <w:t>，</w:t>
      </w:r>
      <w:r>
        <w:rPr>
          <w:rFonts w:hint="eastAsia" w:ascii="仿宋" w:hAnsi="仿宋" w:eastAsia="仿宋"/>
          <w:bCs/>
          <w:sz w:val="28"/>
          <w:szCs w:val="28"/>
          <w:highlight w:val="none"/>
        </w:rPr>
        <w:t>账簿及原始凭证齐全，账实相符，手续齐备，会计账务保存完整</w:t>
      </w:r>
      <w:r>
        <w:rPr>
          <w:rFonts w:hint="eastAsia" w:ascii="仿宋" w:hAnsi="仿宋" w:eastAsia="仿宋"/>
          <w:bCs/>
          <w:sz w:val="28"/>
          <w:szCs w:val="28"/>
          <w:highlight w:val="none"/>
          <w:lang w:val="en-US" w:eastAsia="zh-CN"/>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（5）项目组织实施</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 按照《湖北省大中型水利工程质量终身责任管理办法》的通知和武汉市质量强市创建工作要求，2017年全市水务工程进一步全面推行质量终身责任承诺制，水利工程按照要求签订了六万终身责任承诺书和法人授权书，给排水及污水工程签订了五方终身责任承诺书和法人授权书，更加明确和落实工程参建各方的质量责任和处罚措施。坚持安全生产工作一把手负总责，安全生产目标任务层层分解，逐级签订责任状，明确责任人，建立责任制，做到“严肃态度、严密组织、严格要求、严明纪律”，形成“横向到边、纵向到底”的安全生产网络。全面推行质量“飞检”工作，做到重点水务工程质量“飞检”全覆盖。</w:t>
      </w:r>
    </w:p>
    <w:p>
      <w:pPr>
        <w:numPr>
          <w:ilvl w:val="0"/>
          <w:numId w:val="2"/>
        </w:num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基本建设程序管理</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严格推行工程质量检测制度，在主体工程开工之前，要求工程参建单位选定有资质、信誉良好的检测单位，并签订检测合同，由施工单位根据工程量及技术指标编制检测计划，监理单位审核后报质监站备案。项目实施基本符合基本建设程序和国家法律法规的规定，资金的拨付基本符合有关管理制度的规定，基本实现项目预期目标。</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（7）项目工程质量管理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严格落实安全生产的主体责任，把安全生产的责任落实到施工单位、监理单位、建设单位的每个环节、每个岗位、每个工序，坚持“一票否决”，保存高压态势，在2017年安全生产严峻的形式下，全年水务建设工程未发生一起安全生产责任事故。</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（8）项目档案管理</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单位有完善的项目档案管理制度，严格执行档案管理要求，注重对原始资料在实施过程的收集和整理，分门别类组卷，档案资料做到真实、齐全、有效，但存在部分质量安全监督工程师现场检查中未将检查的过程和结论进行书面登记、留底备查。</w:t>
      </w:r>
    </w:p>
    <w:p>
      <w:pPr>
        <w:spacing w:line="520" w:lineRule="exact"/>
        <w:ind w:firstLine="560" w:firstLineChars="200"/>
        <w:outlineLvl w:val="2"/>
        <w:rPr>
          <w:rFonts w:ascii="仿宋" w:hAnsi="仿宋" w:eastAsia="仿宋"/>
          <w:bCs/>
          <w:sz w:val="28"/>
          <w:szCs w:val="28"/>
        </w:rPr>
      </w:pPr>
      <w:bookmarkStart w:id="32" w:name="_Toc517708020"/>
      <w:r>
        <w:rPr>
          <w:rFonts w:hint="eastAsia" w:ascii="仿宋" w:hAnsi="仿宋" w:eastAsia="仿宋"/>
          <w:bCs/>
          <w:sz w:val="28"/>
          <w:szCs w:val="28"/>
        </w:rPr>
        <w:t>3.项目产出</w:t>
      </w:r>
      <w:bookmarkEnd w:id="32"/>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项目产出良好，项目在预定时间内及时实施完成，质量</w:t>
      </w:r>
      <w:r>
        <w:rPr>
          <w:rFonts w:hint="eastAsia" w:ascii="仿宋" w:hAnsi="仿宋" w:eastAsia="仿宋"/>
          <w:bCs/>
          <w:sz w:val="28"/>
          <w:szCs w:val="28"/>
          <w:lang w:val="en-US" w:eastAsia="zh-CN"/>
        </w:rPr>
        <w:t>指标基本</w:t>
      </w:r>
      <w:r>
        <w:rPr>
          <w:rFonts w:hint="eastAsia" w:ascii="仿宋" w:hAnsi="仿宋" w:eastAsia="仿宋"/>
          <w:bCs/>
          <w:sz w:val="28"/>
          <w:szCs w:val="28"/>
        </w:rPr>
        <w:t>达到预期。本项指标总分为30分，实际得分达到</w:t>
      </w:r>
      <w:r>
        <w:rPr>
          <w:rFonts w:hint="eastAsia" w:ascii="仿宋" w:hAnsi="仿宋" w:eastAsia="仿宋"/>
          <w:bCs/>
          <w:sz w:val="28"/>
          <w:szCs w:val="28"/>
          <w:lang w:val="en-US" w:eastAsia="zh-CN"/>
        </w:rPr>
        <w:t>29.50</w:t>
      </w:r>
      <w:r>
        <w:rPr>
          <w:rFonts w:hint="eastAsia" w:ascii="仿宋" w:hAnsi="仿宋" w:eastAsia="仿宋"/>
          <w:bCs/>
          <w:sz w:val="28"/>
          <w:szCs w:val="28"/>
        </w:rPr>
        <w:t>分，得分率</w:t>
      </w:r>
      <w:r>
        <w:rPr>
          <w:rFonts w:hint="eastAsia" w:ascii="仿宋" w:hAnsi="仿宋" w:eastAsia="仿宋"/>
          <w:bCs/>
          <w:sz w:val="28"/>
          <w:szCs w:val="28"/>
          <w:lang w:val="en-US" w:eastAsia="zh-CN"/>
        </w:rPr>
        <w:t>98.33</w:t>
      </w:r>
      <w:r>
        <w:rPr>
          <w:rFonts w:hint="eastAsia" w:ascii="仿宋" w:hAnsi="仿宋" w:eastAsia="仿宋"/>
          <w:bCs/>
          <w:sz w:val="28"/>
          <w:szCs w:val="28"/>
        </w:rPr>
        <w:t>%,项目产出具体评价如下：</w:t>
      </w:r>
    </w:p>
    <w:p>
      <w:pPr>
        <w:numPr>
          <w:ilvl w:val="0"/>
          <w:numId w:val="3"/>
        </w:num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水务工程质量监督项目完成率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2017年度完成</w:t>
      </w:r>
      <w:r>
        <w:rPr>
          <w:rFonts w:hint="eastAsia" w:ascii="仿宋" w:hAnsi="仿宋" w:eastAsia="仿宋"/>
          <w:bCs/>
          <w:sz w:val="28"/>
          <w:szCs w:val="28"/>
        </w:rPr>
        <w:t>水务工程质量监督项目</w:t>
      </w:r>
      <w:r>
        <w:rPr>
          <w:rFonts w:hint="eastAsia" w:ascii="仿宋" w:hAnsi="仿宋" w:eastAsia="仿宋"/>
          <w:bCs/>
          <w:sz w:val="28"/>
          <w:szCs w:val="28"/>
          <w:lang w:val="en-US" w:eastAsia="zh-CN"/>
        </w:rPr>
        <w:t>共247项，工程涵盖了中小河流治理、病险水库整险加固、农田水利重点县、农排泵站更新改造、大中型灌区节水改造、提防整险加固、湖泊清淤及水质提档升级、农村排灌港渠清淤整治、水厂及污水处理厂、排水泵站新建及改扩建、给排水及污水官网建设、污水提升泵站、供水工程加压站、农村安全饮水工程、两江四岸江滩建设及海绵城市建设等，</w:t>
      </w:r>
      <w:r>
        <w:rPr>
          <w:rFonts w:hint="eastAsia" w:ascii="仿宋" w:hAnsi="仿宋" w:eastAsia="仿宋"/>
          <w:bCs/>
          <w:sz w:val="28"/>
          <w:szCs w:val="28"/>
        </w:rPr>
        <w:t>2017年</w:t>
      </w:r>
      <w:r>
        <w:rPr>
          <w:rFonts w:hint="eastAsia" w:ascii="仿宋" w:hAnsi="仿宋" w:eastAsia="仿宋"/>
          <w:bCs/>
          <w:sz w:val="28"/>
          <w:szCs w:val="28"/>
          <w:lang w:eastAsia="zh-CN"/>
        </w:rPr>
        <w:t>武汉市水务工程质量安全监督站</w:t>
      </w:r>
      <w:r>
        <w:rPr>
          <w:rFonts w:hint="eastAsia" w:ascii="仿宋" w:hAnsi="仿宋" w:eastAsia="仿宋"/>
          <w:bCs/>
          <w:sz w:val="28"/>
          <w:szCs w:val="28"/>
        </w:rPr>
        <w:t>水务工程质量监督项目完成率为100%，完成了年度计划安排的</w:t>
      </w:r>
      <w:r>
        <w:rPr>
          <w:rFonts w:hint="eastAsia" w:ascii="仿宋" w:hAnsi="仿宋" w:eastAsia="仿宋"/>
          <w:bCs/>
          <w:sz w:val="28"/>
          <w:szCs w:val="28"/>
          <w:lang w:val="en-US" w:eastAsia="zh-CN"/>
        </w:rPr>
        <w:t>水务工程质量监督项目</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（2）大中型水务工程报监率</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按照省、市、区三级职责分工，由市级监督管理的水务工程报监手续，大中型工程覆盖率100%。</w:t>
      </w:r>
      <w:r>
        <w:rPr>
          <w:rFonts w:hint="eastAsia" w:ascii="仿宋" w:hAnsi="仿宋" w:eastAsia="仿宋"/>
          <w:bCs/>
          <w:sz w:val="28"/>
          <w:szCs w:val="28"/>
          <w:lang w:eastAsia="zh-CN"/>
        </w:rPr>
        <w:t>武汉市水务工程质量安全监督站</w:t>
      </w:r>
      <w:r>
        <w:rPr>
          <w:rFonts w:hint="eastAsia" w:ascii="仿宋" w:hAnsi="仿宋" w:eastAsia="仿宋"/>
          <w:bCs/>
          <w:sz w:val="28"/>
          <w:szCs w:val="28"/>
          <w:lang w:val="en-US" w:eastAsia="zh-CN"/>
        </w:rPr>
        <w:t>分别成立了监督小组，对已报监的项目进行质量、安全监督计划交底，对水利水电工程下达了项目划分批复80个单位工程、232个分部工程，核定单位工程等级66个，核备分部工程等级282个，质量抽检计划批复35个。检查了施工单位及监理单位质量保证体系和安全保证体系，核验了特种作业人员持证上岗情况，对存在的问题分别要求相关单位进行整改，并通知建设单位督促落实，实现大中型水务工程质量、安全监督全覆盖</w:t>
      </w:r>
      <w:r>
        <w:rPr>
          <w:rFonts w:hint="eastAsia" w:ascii="仿宋" w:hAnsi="仿宋" w:eastAsia="仿宋"/>
          <w:bCs/>
          <w:sz w:val="28"/>
          <w:szCs w:val="28"/>
        </w:rPr>
        <w:t>的绩效管理目标。</w:t>
      </w:r>
    </w:p>
    <w:p>
      <w:pPr>
        <w:numPr>
          <w:ilvl w:val="0"/>
          <w:numId w:val="0"/>
        </w:numPr>
        <w:spacing w:line="520" w:lineRule="exact"/>
        <w:ind w:leftChars="200"/>
        <w:rPr>
          <w:rFonts w:hint="eastAsia" w:ascii="仿宋" w:hAnsi="仿宋" w:eastAsia="仿宋"/>
          <w:bCs/>
          <w:sz w:val="28"/>
          <w:szCs w:val="28"/>
        </w:rPr>
      </w:pPr>
      <w:r>
        <w:rPr>
          <w:rFonts w:hint="eastAsia" w:ascii="仿宋" w:hAnsi="仿宋" w:eastAsia="仿宋"/>
          <w:bCs/>
          <w:sz w:val="28"/>
          <w:szCs w:val="28"/>
          <w:lang w:eastAsia="zh-CN"/>
        </w:rPr>
        <w:t>（</w:t>
      </w:r>
      <w:r>
        <w:rPr>
          <w:rFonts w:hint="eastAsia" w:ascii="仿宋" w:hAnsi="仿宋" w:eastAsia="仿宋"/>
          <w:bCs/>
          <w:sz w:val="28"/>
          <w:szCs w:val="28"/>
          <w:lang w:val="en-US" w:eastAsia="zh-CN"/>
        </w:rPr>
        <w:t>3</w:t>
      </w:r>
      <w:r>
        <w:rPr>
          <w:rFonts w:hint="eastAsia" w:ascii="仿宋" w:hAnsi="仿宋" w:eastAsia="仿宋"/>
          <w:bCs/>
          <w:sz w:val="28"/>
          <w:szCs w:val="28"/>
          <w:lang w:eastAsia="zh-CN"/>
        </w:rPr>
        <w:t>）</w:t>
      </w:r>
      <w:r>
        <w:rPr>
          <w:rFonts w:hint="eastAsia" w:ascii="仿宋" w:hAnsi="仿宋" w:eastAsia="仿宋"/>
          <w:bCs/>
          <w:sz w:val="28"/>
          <w:szCs w:val="28"/>
        </w:rPr>
        <w:t>重点水务工程质量“飞检”率</w:t>
      </w:r>
    </w:p>
    <w:p>
      <w:pPr>
        <w:numPr>
          <w:ilvl w:val="0"/>
          <w:numId w:val="0"/>
        </w:num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2017年安排了质量“飞检”专项经费31.90万元，进行了三批次的质量“飞检”。主要检测了砼强度及厚度、垫层厚度、结构尺寸、钢筋间距、保护层厚度、平整度、土方密实度、饱水抗压强度，涵盖了农村港渠清淤、病险水库整险加固、农田水利重点县、中小河流治理、大型灌区除险加固、水厂、污水处理厂等，重点水务工程质量“飞检”率100%，</w:t>
      </w:r>
      <w:r>
        <w:rPr>
          <w:rFonts w:hint="eastAsia" w:ascii="仿宋" w:hAnsi="仿宋" w:eastAsia="仿宋"/>
          <w:bCs/>
          <w:sz w:val="28"/>
          <w:szCs w:val="28"/>
        </w:rPr>
        <w:t>实现重点水务工程质量“飞检”全覆盖计划目标</w:t>
      </w:r>
      <w:r>
        <w:rPr>
          <w:rFonts w:hint="eastAsia" w:ascii="仿宋" w:hAnsi="仿宋" w:eastAsia="仿宋"/>
          <w:bCs/>
          <w:sz w:val="28"/>
          <w:szCs w:val="28"/>
          <w:lang w:val="en-US" w:eastAsia="zh-CN"/>
        </w:rPr>
        <w:t>。</w:t>
      </w:r>
    </w:p>
    <w:p>
      <w:pPr>
        <w:numPr>
          <w:ilvl w:val="0"/>
          <w:numId w:val="0"/>
        </w:numPr>
        <w:spacing w:line="520" w:lineRule="exact"/>
        <w:ind w:left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（4）行政处罚、行政强制行为合法率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both"/>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按照相关法律、法规、设计文件及规范标准，对全市在建水务工程的质量、安全、文明施工进行了抽查、巡检，对检查中发现的问题下发整改通知单或监督意见书。 </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firstLine="560" w:firstLineChars="200"/>
        <w:jc w:val="both"/>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 完成及时率</w:t>
      </w:r>
    </w:p>
    <w:p>
      <w:pPr>
        <w:spacing w:line="520" w:lineRule="exact"/>
        <w:ind w:firstLine="560" w:firstLineChars="200"/>
        <w:outlineLvl w:val="2"/>
        <w:rPr>
          <w:rFonts w:hint="eastAsia" w:ascii="仿宋" w:hAnsi="仿宋" w:eastAsia="仿宋"/>
          <w:bCs/>
          <w:sz w:val="28"/>
          <w:szCs w:val="28"/>
          <w:lang w:val="en-US" w:eastAsia="zh-CN"/>
        </w:rPr>
      </w:pPr>
      <w:bookmarkStart w:id="33" w:name="_Toc517708021"/>
      <w:r>
        <w:rPr>
          <w:rFonts w:hint="eastAsia" w:ascii="仿宋" w:hAnsi="仿宋" w:eastAsia="仿宋"/>
          <w:bCs/>
          <w:sz w:val="28"/>
          <w:szCs w:val="28"/>
          <w:lang w:val="en-US" w:eastAsia="zh-CN"/>
        </w:rPr>
        <w:t>按照要求每月上报一次安全生产信息，办理市局办公室、建设处、水资源处转交的环保督查事项21件，均按要求及时进行了办理回复，安全生产信息上报、各类投诉件办理完成及时率100%。</w:t>
      </w:r>
    </w:p>
    <w:p>
      <w:pPr>
        <w:spacing w:line="520" w:lineRule="exact"/>
        <w:ind w:firstLine="560" w:firstLineChars="200"/>
        <w:outlineLvl w:val="2"/>
        <w:rPr>
          <w:rFonts w:ascii="仿宋" w:hAnsi="仿宋" w:eastAsia="仿宋"/>
          <w:bCs/>
          <w:sz w:val="28"/>
          <w:szCs w:val="28"/>
        </w:rPr>
      </w:pPr>
      <w:r>
        <w:rPr>
          <w:rFonts w:hint="eastAsia" w:ascii="仿宋" w:hAnsi="仿宋" w:eastAsia="仿宋"/>
          <w:bCs/>
          <w:sz w:val="28"/>
          <w:szCs w:val="28"/>
        </w:rPr>
        <w:t>4.项目效果</w:t>
      </w:r>
      <w:bookmarkEnd w:id="33"/>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项目的实施</w:t>
      </w:r>
      <w:r>
        <w:rPr>
          <w:rFonts w:hint="eastAsia" w:ascii="仿宋" w:hAnsi="仿宋" w:eastAsia="仿宋"/>
          <w:bCs/>
          <w:sz w:val="28"/>
          <w:szCs w:val="28"/>
          <w:lang w:val="en-US" w:eastAsia="zh-CN"/>
        </w:rPr>
        <w:t>使武汉市全年水务工程无重大安全生产责任事故发生，</w:t>
      </w:r>
      <w:r>
        <w:rPr>
          <w:rFonts w:hint="eastAsia" w:ascii="仿宋" w:hAnsi="仿宋" w:eastAsia="仿宋"/>
          <w:bCs/>
          <w:sz w:val="28"/>
          <w:szCs w:val="28"/>
        </w:rPr>
        <w:t>改善了居民生活环境，满足</w:t>
      </w:r>
      <w:r>
        <w:rPr>
          <w:rFonts w:hint="eastAsia" w:ascii="仿宋" w:hAnsi="仿宋" w:eastAsia="仿宋"/>
          <w:bCs/>
          <w:sz w:val="28"/>
          <w:szCs w:val="28"/>
          <w:lang w:val="en-US" w:eastAsia="zh-CN"/>
        </w:rPr>
        <w:t>了</w:t>
      </w:r>
      <w:r>
        <w:rPr>
          <w:rFonts w:hint="eastAsia" w:ascii="仿宋" w:hAnsi="仿宋" w:eastAsia="仿宋"/>
          <w:bCs/>
          <w:sz w:val="28"/>
          <w:szCs w:val="28"/>
        </w:rPr>
        <w:t>城市发展的需要，保证</w:t>
      </w:r>
      <w:r>
        <w:rPr>
          <w:rFonts w:hint="eastAsia" w:ascii="仿宋" w:hAnsi="仿宋" w:eastAsia="仿宋"/>
          <w:bCs/>
          <w:sz w:val="28"/>
          <w:szCs w:val="28"/>
          <w:lang w:val="en-US" w:eastAsia="zh-CN"/>
        </w:rPr>
        <w:t>了</w:t>
      </w:r>
      <w:r>
        <w:rPr>
          <w:rFonts w:hint="eastAsia" w:ascii="仿宋" w:hAnsi="仿宋" w:eastAsia="仿宋"/>
          <w:bCs/>
          <w:sz w:val="28"/>
          <w:szCs w:val="28"/>
        </w:rPr>
        <w:t>人民群众生命财产的安全，为经济的发展以及社会的安定提供</w:t>
      </w:r>
      <w:r>
        <w:rPr>
          <w:rFonts w:hint="eastAsia" w:ascii="仿宋" w:hAnsi="仿宋" w:eastAsia="仿宋"/>
          <w:bCs/>
          <w:sz w:val="28"/>
          <w:szCs w:val="28"/>
          <w:lang w:val="en-US" w:eastAsia="zh-CN"/>
        </w:rPr>
        <w:t>了</w:t>
      </w:r>
      <w:r>
        <w:rPr>
          <w:rFonts w:hint="eastAsia" w:ascii="仿宋" w:hAnsi="仿宋" w:eastAsia="仿宋"/>
          <w:bCs/>
          <w:sz w:val="28"/>
          <w:szCs w:val="28"/>
        </w:rPr>
        <w:t>质量保障。本项指标总分为30分，实际得分达2</w:t>
      </w:r>
      <w:r>
        <w:rPr>
          <w:rFonts w:hint="eastAsia" w:ascii="仿宋" w:hAnsi="仿宋" w:eastAsia="仿宋"/>
          <w:bCs/>
          <w:sz w:val="28"/>
          <w:szCs w:val="28"/>
          <w:lang w:val="en-US" w:eastAsia="zh-CN"/>
        </w:rPr>
        <w:t>9</w:t>
      </w:r>
      <w:r>
        <w:rPr>
          <w:rFonts w:hint="eastAsia" w:ascii="仿宋" w:hAnsi="仿宋" w:eastAsia="仿宋"/>
          <w:bCs/>
          <w:sz w:val="28"/>
          <w:szCs w:val="28"/>
        </w:rPr>
        <w:t>分，得分率</w:t>
      </w:r>
      <w:r>
        <w:rPr>
          <w:rFonts w:hint="eastAsia" w:ascii="仿宋" w:hAnsi="仿宋" w:eastAsia="仿宋"/>
          <w:bCs/>
          <w:sz w:val="28"/>
          <w:szCs w:val="28"/>
          <w:lang w:val="en-US" w:eastAsia="zh-CN"/>
        </w:rPr>
        <w:t>96.67</w:t>
      </w:r>
      <w:r>
        <w:rPr>
          <w:rFonts w:hint="eastAsia" w:ascii="仿宋" w:hAnsi="仿宋" w:eastAsia="仿宋"/>
          <w:bCs/>
          <w:sz w:val="28"/>
          <w:szCs w:val="28"/>
        </w:rPr>
        <w:t>%,项目效果具体评价如下：</w:t>
      </w:r>
    </w:p>
    <w:p>
      <w:pPr>
        <w:numPr>
          <w:ilvl w:val="0"/>
          <w:numId w:val="5"/>
        </w:num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社会效益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2017年是坚持科学发展、安全发展、促进水务建设工程安全生产形式持续好转的一年，全年水务工程监督项目无重大安全生产责任事故发生。一是组织完成了南太子湖污水处理厂、堤角水厂扩建工程、雅安街排水骨干箱涵等22个项目涉及深基坑、顶管、沉井、高支模安全施工方案通过了市建科委专业委员会的评审，安全咨询6项，并监督落实；二是组织完成了洪山区、武昌区等四个中心城区大型排水管涵清淤工程的安全施工方案评审，并监督落实；三是配合市建委管网站对巡司河综合整治工程、武昌污水深遂工程等进行了开工前既有管网保护工作，按照《武汉市城市管线管理办法》督促参建单位与相关权属单位签订管网保护协议，明确管网保护的责任和措施，保证了现有管网的运行安全；四是加强对在建水务工程的垂直起重机、塔吊的安全监管，全年共检查核备江南泵站、后湖四期泵站、北湖泵站等15台套塔吊、垂直升降机，未发生一起安全生产事故；五是检查了七个中心城区及三个主要投资平台涉及渡汛安全的工程项目，江南泵站、后湖四期泵站、港西泵站、琴断口水厂工程等均完成了涉及堤防安全的主体结构与管道施工，按渡汛方案完成了堤防恢复工程，确保2017年安全渡汛；六是配合市局安监处迎接完成了市安委会、省水利厅安全生产大检查，在五一、十一等重点节假日进行了三次安全生产专项检查，共发现和整改了30处质量安全隐患；七是举办了三次全市水务工程安全生产专题讲座，培训了水务系统安全生产管理人员40人次，宣讲了《新安全生产法》和《建筑施工安全检查标准》（JGJ59-2011），并将《农民工安全生产手册》等书籍送发到水务建设工地，加强农民工的安全教育培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（2）可持续影响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2017年是实施“十三五”规划重要的一年，按照市委、市政府的部署，我市“四水共治”、灾后重建等项目多、工期紧、任务重。项目的实施，为武汉市七个中心城区、六个远城区和五个经济开发区的水利、提防、排渍、污水处理、城市供用水系统建设工程项目的完工提供了质量安全保障，确保了大中型水务工程质量、安全监督全覆盖，以及重点水务工程质量“飞检”全覆盖，促使了武汉市全年水务工程无重大安全生产责任事故的发生，提升了湖泊水质升级、城市排水防涝能力以及污水收集处理能力，确保了安全渡汛、解决了雨季城区积水深、退水久的现状，美化了居民的生活环境，满足了城市发展的需要，保证了人民群众生命财产的安全，为经济的发展以及社会的安定提供了质量保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（3）生活环境改善程度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项目实施后，为我市“四水共治”、灾后重建等建设工程项目的完工提供了质量安全保障，加强了湖泊水质升级、城市排水防涝能力以及污水收集处理能力，改善了生态环境，提升了市民生活品质，增强了市民的幸福感和满足感。 </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（4）全年文明施工投诉处置满意率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40" w:firstLineChars="3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rPr>
        <w:t>2017年</w:t>
      </w:r>
      <w:r>
        <w:rPr>
          <w:rFonts w:hint="eastAsia" w:ascii="仿宋" w:hAnsi="仿宋" w:eastAsia="仿宋"/>
          <w:bCs/>
          <w:sz w:val="28"/>
          <w:szCs w:val="28"/>
          <w:lang w:val="en-US" w:eastAsia="zh-CN"/>
        </w:rPr>
        <w:t>受理</w:t>
      </w:r>
      <w:r>
        <w:rPr>
          <w:rFonts w:hint="eastAsia" w:ascii="仿宋" w:hAnsi="仿宋" w:eastAsia="仿宋"/>
          <w:bCs/>
          <w:sz w:val="28"/>
          <w:szCs w:val="28"/>
        </w:rPr>
        <w:t>全年文明施工投</w:t>
      </w:r>
      <w:r>
        <w:rPr>
          <w:rFonts w:hint="eastAsia" w:ascii="仿宋" w:hAnsi="仿宋" w:eastAsia="仿宋"/>
          <w:bCs/>
          <w:sz w:val="28"/>
          <w:szCs w:val="28"/>
          <w:lang w:val="en-US" w:eastAsia="zh-CN"/>
        </w:rPr>
        <w:t>诉18件，投诉件办理满意率为100%，达到考核标准。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bookmarkStart w:id="34" w:name="_Toc517708022"/>
      <w:r>
        <w:rPr>
          <w:rFonts w:hint="eastAsia" w:ascii="仿宋" w:hAnsi="仿宋" w:eastAsia="仿宋"/>
          <w:bCs/>
          <w:sz w:val="28"/>
          <w:szCs w:val="28"/>
          <w:lang w:val="en-US" w:eastAsia="zh-CN"/>
        </w:rPr>
        <w:t>（四）评价结论</w:t>
      </w:r>
      <w:bookmarkEnd w:id="34"/>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bookmarkStart w:id="35" w:name="_Toc517708023"/>
      <w:r>
        <w:rPr>
          <w:rFonts w:hint="eastAsia" w:ascii="仿宋" w:hAnsi="仿宋" w:eastAsia="仿宋"/>
          <w:bCs/>
          <w:sz w:val="28"/>
          <w:szCs w:val="28"/>
          <w:lang w:val="en-US" w:eastAsia="zh-CN"/>
        </w:rPr>
        <w:t>1.综合评分结果</w:t>
      </w:r>
      <w:bookmarkEnd w:id="35"/>
    </w:p>
    <w:tbl>
      <w:tblPr>
        <w:tblStyle w:val="12"/>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92"/>
        <w:gridCol w:w="1276"/>
        <w:gridCol w:w="1417"/>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tblHeader/>
        </w:trPr>
        <w:tc>
          <w:tcPr>
            <w:tcW w:w="1418"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评价指标</w:t>
            </w:r>
          </w:p>
        </w:tc>
        <w:tc>
          <w:tcPr>
            <w:tcW w:w="992"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权重</w:t>
            </w:r>
          </w:p>
        </w:tc>
        <w:tc>
          <w:tcPr>
            <w:tcW w:w="1276"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评级分值</w:t>
            </w:r>
          </w:p>
        </w:tc>
        <w:tc>
          <w:tcPr>
            <w:tcW w:w="1417"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项目得分</w:t>
            </w:r>
          </w:p>
        </w:tc>
        <w:tc>
          <w:tcPr>
            <w:tcW w:w="1701"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得分率</w:t>
            </w:r>
          </w:p>
        </w:tc>
        <w:tc>
          <w:tcPr>
            <w:tcW w:w="1418" w:type="dxa"/>
            <w:vAlign w:val="center"/>
          </w:tcPr>
          <w:p>
            <w:pPr>
              <w:jc w:val="center"/>
              <w:rPr>
                <w:rFonts w:ascii="仿宋" w:hAnsi="仿宋" w:eastAsia="仿宋" w:cs="仿宋"/>
                <w:b/>
                <w:kern w:val="0"/>
                <w:szCs w:val="21"/>
              </w:rPr>
            </w:pPr>
            <w:r>
              <w:rPr>
                <w:rFonts w:hint="eastAsia" w:ascii="仿宋" w:hAnsi="仿宋" w:eastAsia="仿宋" w:cs="仿宋"/>
                <w:b/>
                <w:kern w:val="0"/>
                <w:szCs w:val="21"/>
              </w:rPr>
              <w:t>评价级别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项目投入</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417" w:type="dxa"/>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rPr>
              <w:t>10.</w:t>
            </w:r>
            <w:r>
              <w:rPr>
                <w:rFonts w:hint="eastAsia" w:ascii="仿宋" w:hAnsi="仿宋" w:eastAsia="仿宋" w:cs="仿宋"/>
                <w:kern w:val="0"/>
                <w:szCs w:val="21"/>
                <w:lang w:val="en-US" w:eastAsia="zh-CN"/>
              </w:rPr>
              <w:t>98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91.50</w:t>
            </w:r>
            <w:r>
              <w:rPr>
                <w:rFonts w:hint="eastAsia" w:ascii="仿宋" w:hAnsi="仿宋" w:eastAsia="仿宋" w:cs="仿宋"/>
                <w:kern w:val="0"/>
                <w:szCs w:val="21"/>
              </w:rPr>
              <w:t>%</w:t>
            </w:r>
          </w:p>
        </w:tc>
        <w:tc>
          <w:tcPr>
            <w:tcW w:w="1418" w:type="dxa"/>
            <w:vAlign w:val="center"/>
          </w:tcPr>
          <w:p>
            <w:pPr>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项目过程</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417" w:type="dxa"/>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rPr>
              <w:t>2</w:t>
            </w:r>
            <w:r>
              <w:rPr>
                <w:rFonts w:hint="eastAsia" w:ascii="仿宋" w:hAnsi="仿宋" w:eastAsia="仿宋" w:cs="仿宋"/>
                <w:kern w:val="0"/>
                <w:szCs w:val="21"/>
                <w:lang w:val="en-US" w:eastAsia="zh-CN"/>
              </w:rPr>
              <w:t>4</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85.71</w:t>
            </w:r>
            <w:r>
              <w:rPr>
                <w:rFonts w:hint="eastAsia" w:ascii="仿宋" w:hAnsi="仿宋" w:eastAsia="仿宋" w:cs="仿宋"/>
                <w:kern w:val="0"/>
                <w:szCs w:val="21"/>
              </w:rPr>
              <w:t>%</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项目产出</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29.50</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98.33</w:t>
            </w:r>
            <w:r>
              <w:rPr>
                <w:rFonts w:hint="eastAsia" w:ascii="仿宋" w:hAnsi="仿宋" w:eastAsia="仿宋" w:cs="仿宋"/>
                <w:kern w:val="0"/>
                <w:szCs w:val="21"/>
              </w:rPr>
              <w:t>%</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项目效果</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hint="eastAsia" w:ascii="仿宋" w:hAnsi="仿宋" w:eastAsia="仿宋" w:cs="仿宋"/>
                <w:kern w:val="0"/>
                <w:szCs w:val="21"/>
                <w:lang w:eastAsia="zh-CN"/>
              </w:rPr>
            </w:pPr>
            <w:r>
              <w:rPr>
                <w:rFonts w:hint="eastAsia" w:ascii="仿宋" w:hAnsi="仿宋" w:eastAsia="仿宋" w:cs="仿宋"/>
                <w:kern w:val="0"/>
                <w:szCs w:val="21"/>
              </w:rPr>
              <w:t>2</w:t>
            </w:r>
            <w:r>
              <w:rPr>
                <w:rFonts w:hint="eastAsia" w:ascii="仿宋" w:hAnsi="仿宋" w:eastAsia="仿宋" w:cs="仿宋"/>
                <w:kern w:val="0"/>
                <w:szCs w:val="21"/>
                <w:lang w:val="en-US" w:eastAsia="zh-CN"/>
              </w:rPr>
              <w:t>9</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96.67</w:t>
            </w:r>
            <w:r>
              <w:rPr>
                <w:rFonts w:hint="eastAsia" w:ascii="仿宋" w:hAnsi="仿宋" w:eastAsia="仿宋" w:cs="仿宋"/>
                <w:kern w:val="0"/>
                <w:szCs w:val="21"/>
              </w:rPr>
              <w:t>%</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综合绩效</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7" w:type="dxa"/>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rPr>
              <w:t>93.</w:t>
            </w:r>
            <w:r>
              <w:rPr>
                <w:rFonts w:hint="eastAsia" w:ascii="仿宋" w:hAnsi="仿宋" w:eastAsia="仿宋" w:cs="仿宋"/>
                <w:kern w:val="0"/>
                <w:szCs w:val="21"/>
                <w:lang w:val="en-US" w:eastAsia="zh-CN"/>
              </w:rPr>
              <w:t>48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w:t>
            </w:r>
            <w:r>
              <w:rPr>
                <w:rFonts w:hint="eastAsia" w:ascii="仿宋" w:hAnsi="仿宋" w:eastAsia="仿宋" w:cs="仿宋"/>
                <w:kern w:val="0"/>
                <w:szCs w:val="21"/>
                <w:lang w:val="en-US" w:eastAsia="zh-CN"/>
              </w:rPr>
              <w:t>48</w:t>
            </w:r>
            <w:r>
              <w:rPr>
                <w:rFonts w:hint="eastAsia" w:ascii="仿宋" w:hAnsi="仿宋" w:eastAsia="仿宋" w:cs="仿宋"/>
                <w:kern w:val="0"/>
                <w:szCs w:val="21"/>
              </w:rPr>
              <w:t>%</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bl>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从投入来看，项目立项依据充分，立项申请符合规定，项目申报的主要内容完整，编制科学、实事求是，合理，项目资金按计划投入到位，资金拨付及时</w:t>
      </w:r>
      <w:r>
        <w:rPr>
          <w:rFonts w:hint="eastAsia" w:ascii="仿宋" w:hAnsi="仿宋" w:eastAsia="仿宋"/>
          <w:bCs/>
          <w:sz w:val="28"/>
          <w:szCs w:val="28"/>
          <w:lang w:eastAsia="zh-CN"/>
        </w:rPr>
        <w:t>。</w:t>
      </w:r>
      <w:r>
        <w:rPr>
          <w:rFonts w:hint="eastAsia" w:ascii="仿宋" w:hAnsi="仿宋" w:eastAsia="仿宋"/>
          <w:bCs/>
          <w:sz w:val="28"/>
          <w:szCs w:val="28"/>
          <w:lang w:val="en-US" w:eastAsia="zh-CN"/>
        </w:rPr>
        <w:t xml:space="preserve"> </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但财务管理上存在</w:t>
      </w:r>
      <w:r>
        <w:rPr>
          <w:rFonts w:hint="eastAsia" w:ascii="仿宋" w:hAnsi="仿宋" w:eastAsia="仿宋"/>
          <w:bCs/>
          <w:sz w:val="28"/>
          <w:szCs w:val="28"/>
          <w:lang w:val="en-US" w:eastAsia="zh-CN"/>
        </w:rPr>
        <w:t>部分支出不</w:t>
      </w:r>
      <w:r>
        <w:rPr>
          <w:rFonts w:hint="eastAsia" w:ascii="仿宋" w:hAnsi="仿宋" w:eastAsia="仿宋"/>
          <w:bCs/>
          <w:sz w:val="28"/>
          <w:szCs w:val="28"/>
        </w:rPr>
        <w:t>符合项目预算批复规定的用途</w:t>
      </w:r>
      <w:r>
        <w:rPr>
          <w:rFonts w:hint="eastAsia" w:ascii="仿宋" w:hAnsi="仿宋" w:eastAsia="仿宋"/>
          <w:bCs/>
          <w:sz w:val="28"/>
          <w:szCs w:val="28"/>
          <w:lang w:eastAsia="zh-CN"/>
        </w:rPr>
        <w:t>，</w:t>
      </w:r>
      <w:r>
        <w:rPr>
          <w:rFonts w:hint="eastAsia" w:ascii="仿宋" w:hAnsi="仿宋" w:eastAsia="仿宋"/>
          <w:bCs/>
          <w:sz w:val="28"/>
          <w:szCs w:val="28"/>
          <w:lang w:val="en-US" w:eastAsia="zh-CN"/>
        </w:rPr>
        <w:t>基本支出</w:t>
      </w:r>
      <w:r>
        <w:rPr>
          <w:rFonts w:hint="eastAsia" w:ascii="仿宋" w:hAnsi="仿宋" w:eastAsia="仿宋"/>
          <w:bCs/>
          <w:sz w:val="28"/>
          <w:szCs w:val="28"/>
        </w:rPr>
        <w:t>挤占</w:t>
      </w:r>
      <w:r>
        <w:rPr>
          <w:rFonts w:hint="eastAsia" w:ascii="仿宋" w:hAnsi="仿宋" w:eastAsia="仿宋"/>
          <w:bCs/>
          <w:sz w:val="28"/>
          <w:szCs w:val="28"/>
          <w:lang w:val="en-US" w:eastAsia="zh-CN"/>
        </w:rPr>
        <w:t>项目</w:t>
      </w:r>
      <w:r>
        <w:rPr>
          <w:rFonts w:hint="eastAsia" w:ascii="仿宋" w:hAnsi="仿宋" w:eastAsia="仿宋"/>
          <w:bCs/>
          <w:sz w:val="28"/>
          <w:szCs w:val="28"/>
        </w:rPr>
        <w:t>支出</w:t>
      </w:r>
      <w:r>
        <w:rPr>
          <w:rFonts w:hint="eastAsia" w:ascii="仿宋" w:hAnsi="仿宋" w:eastAsia="仿宋"/>
          <w:bCs/>
          <w:sz w:val="28"/>
          <w:szCs w:val="28"/>
          <w:lang w:val="en-US" w:eastAsia="zh-CN"/>
        </w:rPr>
        <w:t>情况</w:t>
      </w:r>
      <w:r>
        <w:rPr>
          <w:rFonts w:hint="eastAsia" w:ascii="仿宋" w:hAnsi="仿宋" w:eastAsia="仿宋"/>
          <w:bCs/>
          <w:sz w:val="28"/>
          <w:szCs w:val="28"/>
          <w:lang w:eastAsia="zh-CN"/>
        </w:rPr>
        <w:t>，</w:t>
      </w:r>
      <w:r>
        <w:rPr>
          <w:rFonts w:hint="eastAsia" w:ascii="仿宋" w:hAnsi="仿宋" w:eastAsia="仿宋"/>
          <w:bCs/>
          <w:sz w:val="28"/>
          <w:szCs w:val="28"/>
          <w:highlight w:val="none"/>
          <w:lang w:val="en-US" w:eastAsia="zh-CN"/>
        </w:rPr>
        <w:t>账务处理不规范</w:t>
      </w:r>
      <w:r>
        <w:rPr>
          <w:rFonts w:hint="eastAsia" w:ascii="仿宋" w:hAnsi="仿宋" w:eastAsia="仿宋"/>
          <w:bCs/>
          <w:sz w:val="28"/>
          <w:szCs w:val="28"/>
        </w:rPr>
        <w:t>的问题</w:t>
      </w:r>
      <w:r>
        <w:rPr>
          <w:rFonts w:hint="eastAsia" w:ascii="仿宋" w:hAnsi="仿宋" w:eastAsia="仿宋"/>
          <w:bCs/>
          <w:sz w:val="28"/>
          <w:szCs w:val="28"/>
          <w:lang w:eastAsia="zh-CN"/>
        </w:rPr>
        <w:t>；</w:t>
      </w:r>
      <w:r>
        <w:rPr>
          <w:rFonts w:hint="eastAsia" w:ascii="仿宋" w:hAnsi="仿宋" w:eastAsia="仿宋"/>
          <w:bCs/>
          <w:sz w:val="28"/>
          <w:szCs w:val="28"/>
          <w:lang w:val="en-US" w:eastAsia="zh-CN"/>
        </w:rPr>
        <w:t>项目管理上存在档案管理执行不到位情况。</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从产出来看，项目产出良好，项目在预定时间内及时实施完成，质量达标率</w:t>
      </w:r>
      <w:r>
        <w:rPr>
          <w:rFonts w:hint="eastAsia" w:ascii="仿宋" w:hAnsi="仿宋" w:eastAsia="仿宋"/>
          <w:bCs/>
          <w:sz w:val="28"/>
          <w:szCs w:val="28"/>
          <w:lang w:val="en-US" w:eastAsia="zh-CN"/>
        </w:rPr>
        <w:t>基本</w:t>
      </w:r>
      <w:r>
        <w:rPr>
          <w:rFonts w:hint="eastAsia" w:ascii="仿宋" w:hAnsi="仿宋" w:eastAsia="仿宋"/>
          <w:bCs/>
          <w:sz w:val="28"/>
          <w:szCs w:val="28"/>
        </w:rPr>
        <w:t>达到预期。</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从效果来看，项目的实施</w:t>
      </w:r>
      <w:r>
        <w:rPr>
          <w:rFonts w:hint="eastAsia" w:ascii="仿宋" w:hAnsi="仿宋" w:eastAsia="仿宋"/>
          <w:bCs/>
          <w:sz w:val="28"/>
          <w:szCs w:val="28"/>
          <w:lang w:val="en-US" w:eastAsia="zh-CN"/>
        </w:rPr>
        <w:t>使武汉市全年水务工程无重大安全生产责任事故发生，</w:t>
      </w:r>
      <w:r>
        <w:rPr>
          <w:rFonts w:hint="eastAsia" w:ascii="仿宋" w:hAnsi="仿宋" w:eastAsia="仿宋"/>
          <w:bCs/>
          <w:sz w:val="28"/>
          <w:szCs w:val="28"/>
        </w:rPr>
        <w:t>改善了居民生活环境，满足</w:t>
      </w:r>
      <w:r>
        <w:rPr>
          <w:rFonts w:hint="eastAsia" w:ascii="仿宋" w:hAnsi="仿宋" w:eastAsia="仿宋"/>
          <w:bCs/>
          <w:sz w:val="28"/>
          <w:szCs w:val="28"/>
          <w:lang w:val="en-US" w:eastAsia="zh-CN"/>
        </w:rPr>
        <w:t>了</w:t>
      </w:r>
      <w:r>
        <w:rPr>
          <w:rFonts w:hint="eastAsia" w:ascii="仿宋" w:hAnsi="仿宋" w:eastAsia="仿宋"/>
          <w:bCs/>
          <w:sz w:val="28"/>
          <w:szCs w:val="28"/>
        </w:rPr>
        <w:t>城市发展的需要，保证</w:t>
      </w:r>
      <w:r>
        <w:rPr>
          <w:rFonts w:hint="eastAsia" w:ascii="仿宋" w:hAnsi="仿宋" w:eastAsia="仿宋"/>
          <w:bCs/>
          <w:sz w:val="28"/>
          <w:szCs w:val="28"/>
          <w:lang w:val="en-US" w:eastAsia="zh-CN"/>
        </w:rPr>
        <w:t>了</w:t>
      </w:r>
      <w:r>
        <w:rPr>
          <w:rFonts w:hint="eastAsia" w:ascii="仿宋" w:hAnsi="仿宋" w:eastAsia="仿宋"/>
          <w:bCs/>
          <w:sz w:val="28"/>
          <w:szCs w:val="28"/>
        </w:rPr>
        <w:t>人民群众生命财产的安全，为经济的发展以及社会的安定提供</w:t>
      </w:r>
      <w:r>
        <w:rPr>
          <w:rFonts w:hint="eastAsia" w:ascii="仿宋" w:hAnsi="仿宋" w:eastAsia="仿宋"/>
          <w:bCs/>
          <w:sz w:val="28"/>
          <w:szCs w:val="28"/>
          <w:lang w:val="en-US" w:eastAsia="zh-CN"/>
        </w:rPr>
        <w:t>了</w:t>
      </w:r>
      <w:r>
        <w:rPr>
          <w:rFonts w:hint="eastAsia" w:ascii="仿宋" w:hAnsi="仿宋" w:eastAsia="仿宋"/>
          <w:bCs/>
          <w:sz w:val="28"/>
          <w:szCs w:val="28"/>
        </w:rPr>
        <w:t>质量保障。</w:t>
      </w:r>
    </w:p>
    <w:p>
      <w:pPr>
        <w:spacing w:line="520" w:lineRule="exact"/>
        <w:ind w:firstLine="560" w:firstLineChars="200"/>
        <w:outlineLvl w:val="2"/>
        <w:rPr>
          <w:rFonts w:ascii="仿宋" w:hAnsi="仿宋" w:eastAsia="仿宋"/>
          <w:bCs/>
          <w:sz w:val="28"/>
          <w:szCs w:val="28"/>
        </w:rPr>
      </w:pPr>
      <w:bookmarkStart w:id="36" w:name="_Toc517708024"/>
      <w:r>
        <w:rPr>
          <w:rFonts w:hint="eastAsia" w:ascii="仿宋" w:hAnsi="仿宋" w:eastAsia="仿宋"/>
          <w:bCs/>
          <w:sz w:val="28"/>
          <w:szCs w:val="28"/>
        </w:rPr>
        <w:t>2.主要结论</w:t>
      </w:r>
      <w:bookmarkEnd w:id="36"/>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本次项目绩效评价结果为“优”。项目符合城市发展政策，项目立项依据充分；财务和</w:t>
      </w:r>
      <w:r>
        <w:rPr>
          <w:rFonts w:hint="eastAsia" w:ascii="仿宋" w:hAnsi="仿宋" w:eastAsia="仿宋"/>
          <w:bCs/>
          <w:sz w:val="28"/>
          <w:szCs w:val="28"/>
          <w:lang w:val="en-US" w:eastAsia="zh-CN"/>
        </w:rPr>
        <w:t>项目</w:t>
      </w:r>
      <w:r>
        <w:rPr>
          <w:rFonts w:hint="eastAsia" w:ascii="仿宋" w:hAnsi="仿宋" w:eastAsia="仿宋"/>
          <w:bCs/>
          <w:sz w:val="28"/>
          <w:szCs w:val="28"/>
        </w:rPr>
        <w:t>管理工作有效；</w:t>
      </w:r>
      <w:r>
        <w:rPr>
          <w:rFonts w:hint="eastAsia" w:ascii="仿宋" w:hAnsi="仿宋" w:eastAsia="仿宋"/>
          <w:bCs/>
          <w:sz w:val="28"/>
          <w:szCs w:val="28"/>
          <w:lang w:val="en-US" w:eastAsia="zh-CN"/>
        </w:rPr>
        <w:t>项目</w:t>
      </w:r>
      <w:r>
        <w:rPr>
          <w:rFonts w:hint="eastAsia" w:ascii="仿宋" w:hAnsi="仿宋" w:eastAsia="仿宋"/>
          <w:bCs/>
          <w:sz w:val="28"/>
          <w:szCs w:val="28"/>
        </w:rPr>
        <w:t>完成情况、完成及时情况和质量达计划目标；项目社会效益、环境效益明显。项目实施</w:t>
      </w:r>
      <w:r>
        <w:rPr>
          <w:rFonts w:hint="eastAsia" w:ascii="仿宋" w:hAnsi="仿宋" w:eastAsia="仿宋"/>
          <w:bCs/>
          <w:sz w:val="28"/>
          <w:szCs w:val="28"/>
          <w:lang w:val="en-US" w:eastAsia="zh-CN"/>
        </w:rPr>
        <w:t>使武汉市全年水务工程无重大安全生产责任事故发生，</w:t>
      </w:r>
      <w:r>
        <w:rPr>
          <w:rFonts w:hint="eastAsia" w:ascii="仿宋" w:hAnsi="仿宋" w:eastAsia="仿宋"/>
          <w:bCs/>
          <w:sz w:val="28"/>
          <w:szCs w:val="28"/>
        </w:rPr>
        <w:t>改善了居民的生活环境，有利于</w:t>
      </w:r>
      <w:r>
        <w:rPr>
          <w:rFonts w:hint="eastAsia" w:ascii="仿宋" w:hAnsi="仿宋" w:eastAsia="仿宋"/>
          <w:bCs/>
          <w:sz w:val="28"/>
          <w:szCs w:val="28"/>
          <w:lang w:val="en-US" w:eastAsia="zh-CN"/>
        </w:rPr>
        <w:t>城市</w:t>
      </w:r>
      <w:r>
        <w:rPr>
          <w:rFonts w:hint="eastAsia" w:ascii="仿宋" w:hAnsi="仿宋" w:eastAsia="仿宋"/>
          <w:bCs/>
          <w:sz w:val="28"/>
          <w:szCs w:val="28"/>
        </w:rPr>
        <w:t>的可持续发展。</w:t>
      </w:r>
    </w:p>
    <w:p>
      <w:pPr>
        <w:spacing w:line="520" w:lineRule="exact"/>
        <w:ind w:firstLine="560" w:firstLineChars="200"/>
        <w:outlineLvl w:val="0"/>
        <w:rPr>
          <w:rFonts w:ascii="黑体" w:hAnsi="黑体" w:eastAsia="黑体" w:cs="黑体"/>
          <w:sz w:val="28"/>
          <w:szCs w:val="28"/>
        </w:rPr>
      </w:pPr>
      <w:bookmarkStart w:id="37" w:name="_Toc517708025"/>
      <w:bookmarkStart w:id="38" w:name="_Toc24984_WPSOffice_Level1"/>
      <w:bookmarkStart w:id="39" w:name="_Toc511502547"/>
      <w:bookmarkStart w:id="40" w:name="_Toc7491"/>
      <w:r>
        <w:rPr>
          <w:rFonts w:hint="eastAsia" w:ascii="黑体" w:hAnsi="黑体" w:eastAsia="黑体" w:cs="黑体"/>
          <w:sz w:val="28"/>
          <w:szCs w:val="28"/>
        </w:rPr>
        <w:t>四、主要经验及做法、存在的问题</w:t>
      </w:r>
      <w:bookmarkEnd w:id="37"/>
      <w:bookmarkEnd w:id="38"/>
      <w:bookmarkEnd w:id="39"/>
      <w:bookmarkEnd w:id="40"/>
    </w:p>
    <w:p>
      <w:pPr>
        <w:spacing w:line="520" w:lineRule="exact"/>
        <w:ind w:firstLine="560" w:firstLineChars="200"/>
        <w:outlineLvl w:val="1"/>
        <w:rPr>
          <w:rFonts w:ascii="仿宋" w:hAnsi="仿宋" w:eastAsia="仿宋"/>
          <w:bCs/>
          <w:sz w:val="28"/>
          <w:szCs w:val="28"/>
          <w:highlight w:val="yellow"/>
        </w:rPr>
      </w:pPr>
      <w:bookmarkStart w:id="41" w:name="_Toc590"/>
      <w:bookmarkStart w:id="42" w:name="_Toc517708026"/>
      <w:bookmarkStart w:id="43" w:name="_Toc511502548"/>
      <w:r>
        <w:rPr>
          <w:rFonts w:hint="eastAsia" w:ascii="仿宋" w:hAnsi="仿宋" w:eastAsia="仿宋"/>
          <w:bCs/>
          <w:sz w:val="28"/>
          <w:szCs w:val="28"/>
        </w:rPr>
        <w:t>（一）主要经验及做法</w:t>
      </w:r>
      <w:bookmarkEnd w:id="41"/>
      <w:bookmarkEnd w:id="42"/>
      <w:bookmarkEnd w:id="43"/>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仿宋" w:hAnsi="仿宋" w:eastAsia="仿宋"/>
          <w:bCs/>
          <w:sz w:val="28"/>
          <w:szCs w:val="28"/>
          <w:lang w:val="en-US"/>
        </w:rPr>
      </w:pPr>
      <w:r>
        <w:rPr>
          <w:rFonts w:hint="eastAsia" w:ascii="仿宋" w:hAnsi="仿宋" w:eastAsia="仿宋"/>
          <w:bCs/>
          <w:sz w:val="28"/>
          <w:szCs w:val="28"/>
        </w:rPr>
        <w:t>1</w:t>
      </w:r>
      <w:r>
        <w:rPr>
          <w:rFonts w:hint="eastAsia" w:ascii="仿宋" w:hAnsi="仿宋" w:eastAsia="仿宋"/>
          <w:bCs/>
          <w:sz w:val="28"/>
          <w:szCs w:val="28"/>
          <w:lang w:eastAsia="zh-CN"/>
        </w:rPr>
        <w:t>.</w:t>
      </w:r>
      <w:r>
        <w:rPr>
          <w:rFonts w:hint="eastAsia" w:ascii="仿宋" w:hAnsi="仿宋" w:eastAsia="仿宋"/>
          <w:bCs/>
          <w:sz w:val="28"/>
          <w:szCs w:val="28"/>
          <w:lang w:val="en-US" w:eastAsia="zh-CN"/>
        </w:rPr>
        <w:t>全面推行质量终身责任承诺制。</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按照《湖北省大中型水利工程质量终身责任管理办法》的通知和武汉市质量强市创建工作要求，2017年全市水务工程进一步全面推行质量终身责任承诺制，水利工程按照要求签订了六万终身责任承诺书和法人授权书，给排水及污水工程签订了五方终身责任承诺书和法人授权书，更加明确和落实工程参建各方的质量责任和处罚措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rPr>
      </w:pPr>
      <w:r>
        <w:rPr>
          <w:rFonts w:hint="eastAsia" w:ascii="仿宋" w:hAnsi="仿宋" w:eastAsia="仿宋"/>
          <w:bCs/>
          <w:sz w:val="28"/>
          <w:szCs w:val="28"/>
          <w:lang w:val="en-US" w:eastAsia="zh-CN"/>
        </w:rPr>
        <w:t>2.</w:t>
      </w:r>
      <w:r>
        <w:rPr>
          <w:rFonts w:hint="eastAsia" w:ascii="仿宋" w:hAnsi="仿宋" w:eastAsia="仿宋"/>
          <w:bCs/>
          <w:sz w:val="28"/>
          <w:szCs w:val="28"/>
        </w:rPr>
        <w:t>高度重视安全生产工作，</w:t>
      </w:r>
      <w:r>
        <w:rPr>
          <w:rFonts w:hint="eastAsia" w:ascii="仿宋" w:hAnsi="仿宋" w:eastAsia="仿宋"/>
          <w:bCs/>
          <w:sz w:val="28"/>
          <w:szCs w:val="28"/>
          <w:lang w:val="en-US" w:eastAsia="zh-CN"/>
        </w:rPr>
        <w:t>确保无重大安全生产责任事故发生。</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坚持安全生产工作一把手负总责，安全生产目标任务层层分解，逐级签订责任状，明确责任人，建立责任制，做到“严肃态度、严密组织、严格要求、严明纪律”，形成“横向到边、纵向到底”的安全生产网络。每个季度站务会专门研究一次全市水务工程的安全生产工作，研判安全生产方面存在的突出问题和安全隐患的苗头及共性问题，明确安全检查的重点和方向，做到“业务工作管理到哪里，安全工作就延伸到哪里”，严格落实安全生产的主体责任，把安全生产的责任落实到施工单位、监理单位、建设单位的每个环节、每个岗位、每个工序，坚持“一票否决”，保存高压态势。</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3</w:t>
      </w:r>
      <w:r>
        <w:rPr>
          <w:rFonts w:hint="eastAsia" w:ascii="仿宋" w:hAnsi="仿宋" w:eastAsia="仿宋"/>
          <w:bCs/>
          <w:sz w:val="28"/>
          <w:szCs w:val="28"/>
          <w:lang w:eastAsia="zh-CN"/>
        </w:rPr>
        <w:t>.</w:t>
      </w:r>
      <w:r>
        <w:rPr>
          <w:rFonts w:hint="eastAsia" w:ascii="仿宋" w:hAnsi="仿宋" w:eastAsia="仿宋"/>
          <w:bCs/>
          <w:sz w:val="28"/>
          <w:szCs w:val="28"/>
        </w:rPr>
        <w:t>加大力度，持续开展</w:t>
      </w:r>
      <w:r>
        <w:rPr>
          <w:rFonts w:hint="eastAsia" w:ascii="仿宋" w:hAnsi="仿宋" w:eastAsia="仿宋"/>
          <w:bCs/>
          <w:sz w:val="28"/>
          <w:szCs w:val="28"/>
          <w:lang w:val="en-US" w:eastAsia="zh-CN"/>
        </w:rPr>
        <w:t>安全生产</w:t>
      </w:r>
      <w:r>
        <w:rPr>
          <w:rFonts w:hint="eastAsia" w:ascii="仿宋" w:hAnsi="仿宋" w:eastAsia="仿宋"/>
          <w:bCs/>
          <w:sz w:val="28"/>
          <w:szCs w:val="28"/>
        </w:rPr>
        <w:t>培训工作</w:t>
      </w:r>
      <w:r>
        <w:rPr>
          <w:rFonts w:hint="eastAsia" w:ascii="仿宋" w:hAnsi="仿宋" w:eastAsia="仿宋"/>
          <w:bCs/>
          <w:sz w:val="28"/>
          <w:szCs w:val="28"/>
          <w:lang w:eastAsia="zh-CN"/>
        </w:rPr>
        <w:t>。</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一是</w:t>
      </w:r>
      <w:r>
        <w:rPr>
          <w:rFonts w:hint="eastAsia" w:ascii="仿宋" w:hAnsi="仿宋" w:eastAsia="仿宋"/>
          <w:bCs/>
          <w:sz w:val="28"/>
          <w:szCs w:val="28"/>
          <w:lang w:val="en-US" w:eastAsia="zh-CN"/>
        </w:rPr>
        <w:t>开展全市水务工程“安全生产月”活动，与市安全协会联合在江南泵站、后湖四期泵站、夹套河骨干箱涵等工程进行了安全隐患排查及整治专题培训</w:t>
      </w:r>
      <w:r>
        <w:rPr>
          <w:rFonts w:hint="eastAsia" w:ascii="仿宋" w:hAnsi="仿宋" w:eastAsia="仿宋"/>
          <w:bCs/>
          <w:sz w:val="28"/>
          <w:szCs w:val="28"/>
        </w:rPr>
        <w:t>。二是</w:t>
      </w:r>
      <w:r>
        <w:rPr>
          <w:rFonts w:hint="eastAsia" w:ascii="仿宋" w:hAnsi="仿宋" w:eastAsia="仿宋"/>
          <w:bCs/>
          <w:sz w:val="28"/>
          <w:szCs w:val="28"/>
          <w:lang w:val="en-US" w:eastAsia="zh-CN"/>
        </w:rPr>
        <w:t>举办了三次全市水务工程安全生产专题讲座，培训了水务系统安全生产管理人员40人次，宣讲了《新安全生产法》和《建筑施工安全检查标准》（JGJ59-2011）。三是将《农民工安全生产手册》等书籍送发到水务建设工地，加强农民工的安全教育培训。</w:t>
      </w:r>
    </w:p>
    <w:p>
      <w:pPr>
        <w:numPr>
          <w:ilvl w:val="0"/>
          <w:numId w:val="0"/>
        </w:num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4.严格推行工程质量检测制度。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lang w:val="en-US" w:eastAsia="zh-CN"/>
        </w:rPr>
      </w:pPr>
      <w:r>
        <w:rPr>
          <w:rFonts w:hint="eastAsia" w:ascii="仿宋" w:hAnsi="仿宋" w:eastAsia="仿宋"/>
          <w:bCs/>
          <w:sz w:val="28"/>
          <w:szCs w:val="28"/>
          <w:lang w:val="en-US" w:eastAsia="zh-CN"/>
        </w:rPr>
        <w:t>在主体工程开工之前，要求工程参建单位选定有资质、信誉良好的检查单位，并鉴定检测合同。由施工单位根据工程量及技术指标编制检测计划，监理单位审核后报质监站备案。质监站技术室与检测单位联网，建立QQ群，各检测单位将自检、平检、30%见证检测和法人抽检结果上传质监站，由站技术室统一汇编分析后，下达到各监督小组。各监督小组以整改通知或监督意见书形式下达到施工及监理单位进行整改落实。同时检测结果作为质量评定及核定（核备）的依据，并适时进行质量“飞检”，对工程质量进行动态和过程监控，确保水务工程的质量。</w:t>
      </w:r>
    </w:p>
    <w:p>
      <w:pPr>
        <w:spacing w:line="520" w:lineRule="exact"/>
        <w:ind w:firstLine="560" w:firstLineChars="200"/>
        <w:outlineLvl w:val="1"/>
        <w:rPr>
          <w:rFonts w:ascii="仿宋" w:hAnsi="仿宋" w:eastAsia="仿宋"/>
          <w:bCs/>
          <w:sz w:val="28"/>
          <w:szCs w:val="28"/>
        </w:rPr>
      </w:pPr>
      <w:bookmarkStart w:id="44" w:name="_Toc517708027"/>
      <w:r>
        <w:rPr>
          <w:rFonts w:hint="eastAsia" w:ascii="仿宋" w:hAnsi="仿宋" w:eastAsia="仿宋"/>
          <w:bCs/>
          <w:sz w:val="28"/>
          <w:szCs w:val="28"/>
        </w:rPr>
        <w:t>（二）主要问题</w:t>
      </w:r>
      <w:bookmarkEnd w:id="44"/>
    </w:p>
    <w:p>
      <w:pPr>
        <w:spacing w:line="520" w:lineRule="exact"/>
        <w:ind w:firstLine="640"/>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 </w:t>
      </w:r>
      <w:r>
        <w:rPr>
          <w:rFonts w:hint="eastAsia" w:ascii="仿宋" w:hAnsi="仿宋" w:eastAsia="仿宋"/>
          <w:sz w:val="28"/>
          <w:szCs w:val="28"/>
        </w:rPr>
        <w:t>一是项目申报文本中项目支出测算依据及说明不具体，项目支出内容</w:t>
      </w:r>
      <w:r>
        <w:rPr>
          <w:rFonts w:hint="eastAsia" w:ascii="仿宋" w:hAnsi="仿宋" w:eastAsia="仿宋"/>
          <w:sz w:val="28"/>
          <w:szCs w:val="28"/>
          <w:lang w:eastAsia="zh-CN"/>
        </w:rPr>
        <w:t>有待进一步</w:t>
      </w:r>
      <w:r>
        <w:rPr>
          <w:rFonts w:hint="eastAsia" w:ascii="仿宋" w:hAnsi="仿宋" w:eastAsia="仿宋"/>
          <w:sz w:val="28"/>
          <w:szCs w:val="28"/>
        </w:rPr>
        <w:t>细化测算；</w:t>
      </w:r>
      <w:r>
        <w:rPr>
          <w:rFonts w:hint="eastAsia" w:ascii="仿宋" w:hAnsi="仿宋" w:eastAsia="仿宋"/>
          <w:sz w:val="28"/>
          <w:szCs w:val="28"/>
          <w:lang w:val="en-US" w:eastAsia="zh-CN"/>
        </w:rPr>
        <w:t>二是</w:t>
      </w:r>
      <w:r>
        <w:rPr>
          <w:rFonts w:hint="eastAsia" w:ascii="仿宋" w:hAnsi="仿宋" w:eastAsia="仿宋"/>
          <w:bCs/>
          <w:sz w:val="28"/>
          <w:szCs w:val="28"/>
          <w:lang w:val="en-US" w:eastAsia="zh-CN"/>
        </w:rPr>
        <w:t>效益指标设置过于宽泛，无法清晰的体现年度绩效目标所应达到的既定效果。</w:t>
      </w:r>
    </w:p>
    <w:p>
      <w:pPr>
        <w:spacing w:line="520" w:lineRule="exact"/>
        <w:ind w:firstLine="560" w:firstLineChars="200"/>
        <w:outlineLvl w:val="0"/>
        <w:rPr>
          <w:rFonts w:ascii="黑体" w:hAnsi="黑体" w:eastAsia="黑体" w:cs="黑体"/>
          <w:sz w:val="28"/>
          <w:szCs w:val="28"/>
        </w:rPr>
      </w:pPr>
      <w:bookmarkStart w:id="45" w:name="_Toc511502550"/>
      <w:bookmarkStart w:id="46" w:name="_Toc517708028"/>
      <w:bookmarkStart w:id="47" w:name="_Toc27100_WPSOffice_Level1"/>
      <w:bookmarkStart w:id="48" w:name="_Toc31947"/>
      <w:r>
        <w:rPr>
          <w:rFonts w:hint="eastAsia" w:ascii="黑体" w:hAnsi="黑体" w:eastAsia="黑体" w:cs="黑体"/>
          <w:sz w:val="28"/>
          <w:szCs w:val="28"/>
        </w:rPr>
        <w:t>五、建议</w:t>
      </w:r>
      <w:bookmarkEnd w:id="45"/>
      <w:bookmarkEnd w:id="46"/>
      <w:bookmarkEnd w:id="47"/>
    </w:p>
    <w:p>
      <w:pPr>
        <w:spacing w:line="520" w:lineRule="exact"/>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eastAsia="zh-CN"/>
        </w:rPr>
        <w:t>.</w:t>
      </w:r>
      <w:r>
        <w:rPr>
          <w:rFonts w:hint="eastAsia" w:ascii="仿宋" w:hAnsi="仿宋" w:eastAsia="仿宋"/>
          <w:sz w:val="28"/>
          <w:szCs w:val="28"/>
        </w:rPr>
        <w:t>投入方面</w:t>
      </w:r>
      <w:bookmarkEnd w:id="48"/>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加强对《预算法》、《会计法》等法律法规的学习宣传力度，落实部门预算编制的主体责任。要在区预算部门开展多种形式的《预算法》学习宣传活动，提高部门工作人员的预算法定意识、资金绩效意识、花钱责任意识，明确对预算编制的真实性、准确性、完整性负有的法定责任，增强工作人员的预算编制参与度，准确、合理编制项目绩效目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2</w:t>
      </w:r>
      <w:r>
        <w:rPr>
          <w:rFonts w:hint="eastAsia" w:ascii="仿宋" w:hAnsi="仿宋" w:eastAsia="仿宋"/>
          <w:bCs/>
          <w:sz w:val="28"/>
          <w:szCs w:val="28"/>
          <w:lang w:eastAsia="zh-CN"/>
        </w:rPr>
        <w:t>.</w:t>
      </w:r>
      <w:r>
        <w:rPr>
          <w:rFonts w:hint="eastAsia" w:ascii="仿宋" w:hAnsi="仿宋" w:eastAsia="仿宋"/>
          <w:bCs/>
          <w:sz w:val="28"/>
          <w:szCs w:val="28"/>
        </w:rPr>
        <w:t>项目管理方面</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建立健全项目档案</w:t>
      </w:r>
      <w:r>
        <w:rPr>
          <w:rFonts w:hint="eastAsia" w:ascii="仿宋" w:hAnsi="仿宋" w:eastAsia="仿宋"/>
          <w:bCs/>
          <w:sz w:val="28"/>
          <w:szCs w:val="28"/>
          <w:lang w:eastAsia="zh-CN"/>
        </w:rPr>
        <w:t>，</w:t>
      </w:r>
      <w:r>
        <w:rPr>
          <w:rFonts w:hint="eastAsia" w:ascii="仿宋" w:hAnsi="仿宋" w:eastAsia="仿宋"/>
          <w:bCs/>
          <w:sz w:val="28"/>
          <w:szCs w:val="28"/>
          <w:lang w:val="en-US" w:eastAsia="zh-CN"/>
        </w:rPr>
        <w:t>督促质量安全监督工程师将检查的过程和结论，进行书面登记并留底备查。</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3.产出方面</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水务工程质量的高低优劣，一方面影响着建筑企业的经济效益和长远发展，另一方面也决定了防洪水、排涝水、治污水、保供水的成效，对于顽固隐患处理态度不坚决的现象，对此进行严肃的批评教育，要求及时改进，不得以小失大，酿成大祸。</w:t>
      </w:r>
    </w:p>
    <w:p>
      <w:pPr>
        <w:spacing w:line="520" w:lineRule="exact"/>
        <w:ind w:firstLine="560" w:firstLineChars="200"/>
        <w:outlineLvl w:val="0"/>
        <w:rPr>
          <w:rFonts w:ascii="黑体" w:hAnsi="黑体" w:eastAsia="黑体" w:cs="黑体"/>
          <w:sz w:val="28"/>
          <w:szCs w:val="28"/>
        </w:rPr>
      </w:pPr>
      <w:bookmarkStart w:id="49" w:name="_Toc22970"/>
      <w:bookmarkStart w:id="50" w:name="_Toc511502553"/>
      <w:bookmarkStart w:id="51" w:name="_Toc517708029"/>
      <w:bookmarkStart w:id="52" w:name="_Toc17018_WPSOffice_Level1"/>
      <w:r>
        <w:rPr>
          <w:rFonts w:hint="eastAsia" w:ascii="黑体" w:hAnsi="黑体" w:eastAsia="黑体" w:cs="黑体"/>
          <w:sz w:val="28"/>
          <w:szCs w:val="28"/>
        </w:rPr>
        <w:t>六、其他需说明的问题</w:t>
      </w:r>
      <w:bookmarkEnd w:id="49"/>
      <w:bookmarkEnd w:id="50"/>
      <w:bookmarkEnd w:id="51"/>
      <w:bookmarkEnd w:id="52"/>
    </w:p>
    <w:p>
      <w:pPr>
        <w:spacing w:line="520" w:lineRule="exact"/>
        <w:ind w:firstLine="560" w:firstLineChars="200"/>
        <w:rPr>
          <w:rFonts w:ascii="仿宋" w:hAnsi="仿宋" w:eastAsia="仿宋"/>
          <w:sz w:val="28"/>
          <w:szCs w:val="28"/>
        </w:rPr>
      </w:pPr>
      <w:r>
        <w:rPr>
          <w:rFonts w:hint="eastAsia" w:ascii="仿宋" w:hAnsi="仿宋" w:eastAsia="仿宋"/>
          <w:sz w:val="28"/>
          <w:szCs w:val="28"/>
        </w:rPr>
        <w:t>部分项目绩效很难在短期内体现出来，一是项目效益是长期的过程，并非所有的投入当年就能见效，很难在短期内见到的效果；二是项目的效益难以准确定量衡量。</w:t>
      </w:r>
    </w:p>
    <w:p>
      <w:pPr>
        <w:ind w:firstLine="3500" w:firstLineChars="1250"/>
        <w:rPr>
          <w:rFonts w:ascii="仿宋" w:hAnsi="仿宋" w:eastAsia="仿宋"/>
          <w:sz w:val="28"/>
          <w:szCs w:val="28"/>
        </w:rPr>
      </w:pPr>
      <w:r>
        <w:rPr>
          <w:rFonts w:hint="eastAsia" w:ascii="仿宋" w:hAnsi="仿宋" w:eastAsia="仿宋"/>
          <w:sz w:val="28"/>
          <w:szCs w:val="28"/>
          <w:lang w:val="en-US" w:eastAsia="zh-CN"/>
        </w:rPr>
        <w:t xml:space="preserve"> </w:t>
      </w:r>
    </w:p>
    <w:p>
      <w:pPr>
        <w:ind w:firstLine="3500" w:firstLineChars="1250"/>
        <w:rPr>
          <w:rFonts w:ascii="仿宋" w:hAnsi="仿宋" w:eastAsia="仿宋"/>
          <w:sz w:val="28"/>
          <w:szCs w:val="28"/>
        </w:rPr>
      </w:pPr>
    </w:p>
    <w:p>
      <w:pPr>
        <w:ind w:firstLine="560" w:firstLineChars="200"/>
      </w:pPr>
      <w:r>
        <w:rPr>
          <w:rFonts w:hint="eastAsia" w:ascii="仿宋" w:hAnsi="仿宋" w:eastAsia="仿宋"/>
          <w:sz w:val="28"/>
          <w:szCs w:val="28"/>
          <w:lang w:val="en-US" w:eastAsia="zh-CN"/>
        </w:rPr>
        <w:t xml:space="preserve"> </w:t>
      </w:r>
      <w:r>
        <w:rPr>
          <w:rFonts w:hint="eastAsia" w:ascii="仿宋" w:hAnsi="仿宋" w:eastAsia="仿宋"/>
          <w:sz w:val="28"/>
          <w:szCs w:val="28"/>
        </w:rPr>
        <w:t xml:space="preserve">                         二0一八年七月十五日</w:t>
      </w:r>
    </w:p>
    <w:p>
      <w:pPr>
        <w:spacing w:line="520" w:lineRule="exact"/>
        <w:ind w:firstLine="560" w:firstLineChars="200"/>
        <w:outlineLvl w:val="1"/>
        <w:rPr>
          <w:rFonts w:ascii="仿宋" w:hAnsi="仿宋" w:eastAsia="仿宋"/>
          <w:bCs/>
          <w:sz w:val="28"/>
          <w:szCs w:val="28"/>
        </w:rPr>
      </w:pPr>
    </w:p>
    <w:p/>
    <w:sectPr>
      <w:footerReference r:id="rId4" w:type="default"/>
      <w:pgSz w:w="11850" w:h="16783"/>
      <w:pgMar w:top="1440" w:right="1800" w:bottom="1440" w:left="1800"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Semilight">
    <w:altName w:val="宋体"/>
    <w:panose1 w:val="00000000000000000000"/>
    <w:charset w:val="86"/>
    <w:family w:val="swiss"/>
    <w:pitch w:val="default"/>
    <w:sig w:usb0="00000000" w:usb1="00000000" w:usb2="00000012" w:usb3="00000000" w:csb0="003E01BD"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273F33"/>
    <w:multiLevelType w:val="singleLevel"/>
    <w:tmpl w:val="9B273F33"/>
    <w:lvl w:ilvl="0" w:tentative="0">
      <w:start w:val="1"/>
      <w:numFmt w:val="decimal"/>
      <w:suff w:val="nothing"/>
      <w:lvlText w:val="（%1）"/>
      <w:lvlJc w:val="left"/>
    </w:lvl>
  </w:abstractNum>
  <w:abstractNum w:abstractNumId="1">
    <w:nsid w:val="C4FD46D3"/>
    <w:multiLevelType w:val="singleLevel"/>
    <w:tmpl w:val="C4FD46D3"/>
    <w:lvl w:ilvl="0" w:tentative="0">
      <w:start w:val="1"/>
      <w:numFmt w:val="decimal"/>
      <w:suff w:val="nothing"/>
      <w:lvlText w:val="（%1）"/>
      <w:lvlJc w:val="left"/>
    </w:lvl>
  </w:abstractNum>
  <w:abstractNum w:abstractNumId="2">
    <w:nsid w:val="0D1C895A"/>
    <w:multiLevelType w:val="singleLevel"/>
    <w:tmpl w:val="0D1C895A"/>
    <w:lvl w:ilvl="0" w:tentative="0">
      <w:start w:val="2"/>
      <w:numFmt w:val="decimal"/>
      <w:suff w:val="nothing"/>
      <w:lvlText w:val="（%1）"/>
      <w:lvlJc w:val="left"/>
    </w:lvl>
  </w:abstractNum>
  <w:abstractNum w:abstractNumId="3">
    <w:nsid w:val="52C8056F"/>
    <w:multiLevelType w:val="singleLevel"/>
    <w:tmpl w:val="52C8056F"/>
    <w:lvl w:ilvl="0" w:tentative="0">
      <w:start w:val="5"/>
      <w:numFmt w:val="decimal"/>
      <w:suff w:val="nothing"/>
      <w:lvlText w:val="（%1）"/>
      <w:lvlJc w:val="left"/>
    </w:lvl>
  </w:abstractNum>
  <w:abstractNum w:abstractNumId="4">
    <w:nsid w:val="6A8E4C83"/>
    <w:multiLevelType w:val="singleLevel"/>
    <w:tmpl w:val="6A8E4C83"/>
    <w:lvl w:ilvl="0" w:tentative="0">
      <w:start w:val="6"/>
      <w:numFmt w:val="decimal"/>
      <w:suff w:val="nothing"/>
      <w:lvlText w:val="（%1）"/>
      <w:lvlJc w:val="left"/>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924B0"/>
    <w:rsid w:val="000E016E"/>
    <w:rsid w:val="000F1C74"/>
    <w:rsid w:val="000F54BB"/>
    <w:rsid w:val="00101AF6"/>
    <w:rsid w:val="00156362"/>
    <w:rsid w:val="001E5898"/>
    <w:rsid w:val="001F6A68"/>
    <w:rsid w:val="002469B1"/>
    <w:rsid w:val="002D0E32"/>
    <w:rsid w:val="00411F4F"/>
    <w:rsid w:val="00423797"/>
    <w:rsid w:val="00427412"/>
    <w:rsid w:val="00462CE4"/>
    <w:rsid w:val="00473879"/>
    <w:rsid w:val="004A2A1F"/>
    <w:rsid w:val="004C58FC"/>
    <w:rsid w:val="0053051C"/>
    <w:rsid w:val="0053738A"/>
    <w:rsid w:val="005814A7"/>
    <w:rsid w:val="005F2B9A"/>
    <w:rsid w:val="00627ECB"/>
    <w:rsid w:val="00630623"/>
    <w:rsid w:val="00640F88"/>
    <w:rsid w:val="006F7839"/>
    <w:rsid w:val="00722FA7"/>
    <w:rsid w:val="007D2490"/>
    <w:rsid w:val="0083180C"/>
    <w:rsid w:val="008717E7"/>
    <w:rsid w:val="009020F4"/>
    <w:rsid w:val="009D2601"/>
    <w:rsid w:val="00A26A19"/>
    <w:rsid w:val="00A402C6"/>
    <w:rsid w:val="00A47D3D"/>
    <w:rsid w:val="00A76C71"/>
    <w:rsid w:val="00AD2DE4"/>
    <w:rsid w:val="00AE4815"/>
    <w:rsid w:val="00AF549B"/>
    <w:rsid w:val="00B0116C"/>
    <w:rsid w:val="00B050E9"/>
    <w:rsid w:val="00B453CB"/>
    <w:rsid w:val="00B55C63"/>
    <w:rsid w:val="00B55F41"/>
    <w:rsid w:val="00BC6704"/>
    <w:rsid w:val="00C401E5"/>
    <w:rsid w:val="00C83B2C"/>
    <w:rsid w:val="00CE4C59"/>
    <w:rsid w:val="00D01713"/>
    <w:rsid w:val="00D26A36"/>
    <w:rsid w:val="00D27179"/>
    <w:rsid w:val="00D55825"/>
    <w:rsid w:val="00DE15AE"/>
    <w:rsid w:val="00E45386"/>
    <w:rsid w:val="00EC6281"/>
    <w:rsid w:val="00ED3866"/>
    <w:rsid w:val="00EF1C6B"/>
    <w:rsid w:val="00F243E2"/>
    <w:rsid w:val="00F74552"/>
    <w:rsid w:val="00F85758"/>
    <w:rsid w:val="00FE50AE"/>
    <w:rsid w:val="011619D5"/>
    <w:rsid w:val="024977BB"/>
    <w:rsid w:val="04684E16"/>
    <w:rsid w:val="04926CF2"/>
    <w:rsid w:val="04F362FC"/>
    <w:rsid w:val="05A13C39"/>
    <w:rsid w:val="05DF0C97"/>
    <w:rsid w:val="07427A65"/>
    <w:rsid w:val="07436DAE"/>
    <w:rsid w:val="075376E6"/>
    <w:rsid w:val="08255181"/>
    <w:rsid w:val="08F54415"/>
    <w:rsid w:val="092513DB"/>
    <w:rsid w:val="094012E4"/>
    <w:rsid w:val="09890CF1"/>
    <w:rsid w:val="0A2A0E84"/>
    <w:rsid w:val="0A5B05B1"/>
    <w:rsid w:val="0AC76C86"/>
    <w:rsid w:val="0BAC1EC3"/>
    <w:rsid w:val="0BE5390D"/>
    <w:rsid w:val="0BF5512F"/>
    <w:rsid w:val="0C0617A3"/>
    <w:rsid w:val="0D08548C"/>
    <w:rsid w:val="0DEB0C19"/>
    <w:rsid w:val="0F4B095E"/>
    <w:rsid w:val="100F20AA"/>
    <w:rsid w:val="10C9307D"/>
    <w:rsid w:val="112253B8"/>
    <w:rsid w:val="11502F87"/>
    <w:rsid w:val="11B0026D"/>
    <w:rsid w:val="12515C87"/>
    <w:rsid w:val="14592BF5"/>
    <w:rsid w:val="15850CA3"/>
    <w:rsid w:val="15E00151"/>
    <w:rsid w:val="15F479EB"/>
    <w:rsid w:val="16291CDF"/>
    <w:rsid w:val="16F43A3F"/>
    <w:rsid w:val="17D2616B"/>
    <w:rsid w:val="18025F2D"/>
    <w:rsid w:val="181E065C"/>
    <w:rsid w:val="186854F1"/>
    <w:rsid w:val="19C51626"/>
    <w:rsid w:val="1A365119"/>
    <w:rsid w:val="1A3F1B4F"/>
    <w:rsid w:val="1A3F2E17"/>
    <w:rsid w:val="1B037C30"/>
    <w:rsid w:val="1B4A4ED5"/>
    <w:rsid w:val="1C0029DC"/>
    <w:rsid w:val="1C906F25"/>
    <w:rsid w:val="1E660C08"/>
    <w:rsid w:val="1F842734"/>
    <w:rsid w:val="1FBA3B63"/>
    <w:rsid w:val="20164802"/>
    <w:rsid w:val="203E6FA4"/>
    <w:rsid w:val="2106178E"/>
    <w:rsid w:val="21592DB6"/>
    <w:rsid w:val="21BF7F6B"/>
    <w:rsid w:val="22625A8B"/>
    <w:rsid w:val="22B465EB"/>
    <w:rsid w:val="232A40C1"/>
    <w:rsid w:val="241D694B"/>
    <w:rsid w:val="24314445"/>
    <w:rsid w:val="26403A28"/>
    <w:rsid w:val="26BF5472"/>
    <w:rsid w:val="27387775"/>
    <w:rsid w:val="2772296F"/>
    <w:rsid w:val="28317ACF"/>
    <w:rsid w:val="291F14E2"/>
    <w:rsid w:val="29DC3BB1"/>
    <w:rsid w:val="2AC5298D"/>
    <w:rsid w:val="2B2A72A3"/>
    <w:rsid w:val="2B371AA4"/>
    <w:rsid w:val="2CA707CD"/>
    <w:rsid w:val="2CE71C3D"/>
    <w:rsid w:val="2D363BF0"/>
    <w:rsid w:val="2DA13818"/>
    <w:rsid w:val="2DC24A87"/>
    <w:rsid w:val="2EF714FF"/>
    <w:rsid w:val="2F5739E0"/>
    <w:rsid w:val="31493831"/>
    <w:rsid w:val="31BB42DC"/>
    <w:rsid w:val="346053E0"/>
    <w:rsid w:val="348261C7"/>
    <w:rsid w:val="34910A7F"/>
    <w:rsid w:val="378E71C4"/>
    <w:rsid w:val="37A82FD8"/>
    <w:rsid w:val="37DB4908"/>
    <w:rsid w:val="38335AE6"/>
    <w:rsid w:val="38AA2178"/>
    <w:rsid w:val="38D60CF9"/>
    <w:rsid w:val="39A21197"/>
    <w:rsid w:val="39BE3146"/>
    <w:rsid w:val="3A3B3B69"/>
    <w:rsid w:val="3B686C92"/>
    <w:rsid w:val="3B6B0524"/>
    <w:rsid w:val="3BEC43F4"/>
    <w:rsid w:val="3D6707DE"/>
    <w:rsid w:val="3E090113"/>
    <w:rsid w:val="3EC12C56"/>
    <w:rsid w:val="3F3B07B2"/>
    <w:rsid w:val="3FF358FB"/>
    <w:rsid w:val="41A77903"/>
    <w:rsid w:val="43DF6AB2"/>
    <w:rsid w:val="447A03E9"/>
    <w:rsid w:val="45912B36"/>
    <w:rsid w:val="464372CD"/>
    <w:rsid w:val="469E7D8F"/>
    <w:rsid w:val="47C63392"/>
    <w:rsid w:val="48CA4E98"/>
    <w:rsid w:val="48E56384"/>
    <w:rsid w:val="491362C8"/>
    <w:rsid w:val="49437007"/>
    <w:rsid w:val="49AD4BBA"/>
    <w:rsid w:val="49C65920"/>
    <w:rsid w:val="49EE6A34"/>
    <w:rsid w:val="4A0B5B78"/>
    <w:rsid w:val="4B0F5C55"/>
    <w:rsid w:val="4B3B0E9C"/>
    <w:rsid w:val="4B772C52"/>
    <w:rsid w:val="4C6B7847"/>
    <w:rsid w:val="4D2C37B2"/>
    <w:rsid w:val="4E054A3A"/>
    <w:rsid w:val="4E163FD2"/>
    <w:rsid w:val="4F9E5A56"/>
    <w:rsid w:val="50454210"/>
    <w:rsid w:val="5061685E"/>
    <w:rsid w:val="51766CEE"/>
    <w:rsid w:val="53C2271F"/>
    <w:rsid w:val="53D14E65"/>
    <w:rsid w:val="543F4C81"/>
    <w:rsid w:val="57BF4437"/>
    <w:rsid w:val="57FB4A08"/>
    <w:rsid w:val="58F54EE2"/>
    <w:rsid w:val="593848AB"/>
    <w:rsid w:val="5AA44C18"/>
    <w:rsid w:val="5B1F46C4"/>
    <w:rsid w:val="5BB3143E"/>
    <w:rsid w:val="5BDB2006"/>
    <w:rsid w:val="5C91170E"/>
    <w:rsid w:val="5DCB7161"/>
    <w:rsid w:val="5E8B2DD7"/>
    <w:rsid w:val="5F2B4604"/>
    <w:rsid w:val="5FAD482D"/>
    <w:rsid w:val="605C4E86"/>
    <w:rsid w:val="60C056D5"/>
    <w:rsid w:val="61746581"/>
    <w:rsid w:val="61FC2E74"/>
    <w:rsid w:val="625F7B33"/>
    <w:rsid w:val="63656A79"/>
    <w:rsid w:val="636742BA"/>
    <w:rsid w:val="63C94F6F"/>
    <w:rsid w:val="63D12B27"/>
    <w:rsid w:val="64BB71DA"/>
    <w:rsid w:val="64FA052D"/>
    <w:rsid w:val="6589703A"/>
    <w:rsid w:val="65D75B90"/>
    <w:rsid w:val="663D37A6"/>
    <w:rsid w:val="675B5AB9"/>
    <w:rsid w:val="695E1D97"/>
    <w:rsid w:val="69A75BC3"/>
    <w:rsid w:val="6B146E2D"/>
    <w:rsid w:val="6B4F7688"/>
    <w:rsid w:val="6C2E5A3D"/>
    <w:rsid w:val="6DC966EB"/>
    <w:rsid w:val="6E4520FB"/>
    <w:rsid w:val="6ED920D9"/>
    <w:rsid w:val="6F732F20"/>
    <w:rsid w:val="6F7A7CA3"/>
    <w:rsid w:val="6F9047AB"/>
    <w:rsid w:val="70D87661"/>
    <w:rsid w:val="722D7391"/>
    <w:rsid w:val="726D3B37"/>
    <w:rsid w:val="72893710"/>
    <w:rsid w:val="72D85BC8"/>
    <w:rsid w:val="72DE7EE6"/>
    <w:rsid w:val="732E1A61"/>
    <w:rsid w:val="73986528"/>
    <w:rsid w:val="750E6AF0"/>
    <w:rsid w:val="75647FCD"/>
    <w:rsid w:val="75AC5602"/>
    <w:rsid w:val="75CE698D"/>
    <w:rsid w:val="766846A9"/>
    <w:rsid w:val="76706E53"/>
    <w:rsid w:val="77022698"/>
    <w:rsid w:val="772D1AAE"/>
    <w:rsid w:val="77445955"/>
    <w:rsid w:val="77D12C2E"/>
    <w:rsid w:val="77DB16D4"/>
    <w:rsid w:val="78070E95"/>
    <w:rsid w:val="786E5426"/>
    <w:rsid w:val="798A3A92"/>
    <w:rsid w:val="79C62A8B"/>
    <w:rsid w:val="79E84B66"/>
    <w:rsid w:val="7A7C6FFF"/>
    <w:rsid w:val="7B470FC6"/>
    <w:rsid w:val="7B533FAA"/>
    <w:rsid w:val="7B5C3842"/>
    <w:rsid w:val="7BD73647"/>
    <w:rsid w:val="7BEA0549"/>
    <w:rsid w:val="7CEB754A"/>
    <w:rsid w:val="7DD1747A"/>
    <w:rsid w:val="7DD70781"/>
    <w:rsid w:val="7E9D4A56"/>
    <w:rsid w:val="7F1C7F7D"/>
    <w:rsid w:val="7F794C90"/>
    <w:rsid w:val="7FCE4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line="480" w:lineRule="auto"/>
      <w:ind w:left="0" w:right="0"/>
      <w:jc w:val="left"/>
    </w:pPr>
    <w:rPr>
      <w:rFonts w:hint="eastAsia" w:ascii="宋体" w:hAnsi="宋体" w:eastAsia="宋体" w:cs="宋体"/>
      <w:kern w:val="0"/>
      <w:sz w:val="18"/>
      <w:szCs w:val="18"/>
      <w:lang w:val="en-US" w:eastAsia="zh-CN" w:bidi="ar"/>
    </w:rPr>
  </w:style>
  <w:style w:type="character" w:styleId="9">
    <w:name w:val="FollowedHyperlink"/>
    <w:basedOn w:val="8"/>
    <w:qFormat/>
    <w:uiPriority w:val="0"/>
    <w:rPr>
      <w:color w:val="0F0F0F"/>
      <w:u w:val="none"/>
    </w:rPr>
  </w:style>
  <w:style w:type="character" w:styleId="10">
    <w:name w:val="Emphasis"/>
    <w:basedOn w:val="8"/>
    <w:qFormat/>
    <w:uiPriority w:val="0"/>
  </w:style>
  <w:style w:type="character" w:styleId="11">
    <w:name w:val="Hyperlink"/>
    <w:basedOn w:val="8"/>
    <w:unhideWhenUsed/>
    <w:qFormat/>
    <w:uiPriority w:val="99"/>
    <w:rPr>
      <w:color w:val="0563C1" w:themeColor="hyperlink"/>
      <w:u w:val="single"/>
      <w14:textFill>
        <w14:solidFill>
          <w14:schemeClr w14:val="hlink"/>
        </w14:solidFill>
      </w14:textFill>
    </w:rPr>
  </w:style>
  <w:style w:type="paragraph" w:customStyle="1" w:styleId="13">
    <w:name w:val="lxl"/>
    <w:basedOn w:val="1"/>
    <w:qFormat/>
    <w:uiPriority w:val="0"/>
    <w:pPr>
      <w:widowControl/>
      <w:spacing w:line="560" w:lineRule="exact"/>
    </w:pPr>
    <w:rPr>
      <w:rFonts w:ascii="Malgun Gothic Semilight" w:hAnsi="Malgun Gothic Semilight" w:eastAsia="方正仿宋_GBK"/>
      <w:sz w:val="30"/>
      <w:szCs w:val="30"/>
    </w:rPr>
  </w:style>
  <w:style w:type="character" w:customStyle="1" w:styleId="14">
    <w:name w:val="one"/>
    <w:basedOn w:val="8"/>
    <w:qFormat/>
    <w:uiPriority w:val="0"/>
    <w:rPr>
      <w:color w:val="003366"/>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1995</Words>
  <Characters>11375</Characters>
  <Lines>94</Lines>
  <Paragraphs>26</Paragraphs>
  <TotalTime>36</TotalTime>
  <ScaleCrop>false</ScaleCrop>
  <LinksUpToDate>false</LinksUpToDate>
  <CharactersWithSpaces>13344</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2018-10-26T03:04:21Z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