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27" w:hRule="atLeast"/>
        </w:trPr>
        <w:tc>
          <w:tcPr>
            <w:tcW w:w="8522" w:type="dxa"/>
          </w:tcPr>
          <w:p>
            <w:pPr>
              <w:jc w:val="center"/>
              <w:rPr>
                <w:rFonts w:hint="eastAsia" w:ascii="仿宋_GB2312" w:eastAsia="仿宋_GB2312"/>
                <w:b/>
                <w:sz w:val="32"/>
                <w:szCs w:val="32"/>
              </w:rPr>
            </w:pPr>
          </w:p>
          <w:p>
            <w:pPr>
              <w:jc w:val="center"/>
              <w:rPr>
                <w:rFonts w:ascii="仿宋_GB2312" w:eastAsia="仿宋_GB2312"/>
                <w:b/>
                <w:sz w:val="32"/>
                <w:szCs w:val="32"/>
              </w:rPr>
            </w:pPr>
          </w:p>
          <w:p>
            <w:pPr>
              <w:jc w:val="center"/>
              <w:rPr>
                <w:rFonts w:ascii="黑体" w:hAnsi="黑体" w:eastAsia="黑体"/>
                <w:b/>
                <w:sz w:val="36"/>
                <w:szCs w:val="36"/>
              </w:rPr>
            </w:pPr>
            <w:r>
              <w:rPr>
                <w:rFonts w:hint="eastAsia" w:ascii="黑体" w:hAnsi="黑体" w:eastAsia="黑体"/>
                <w:b/>
                <w:sz w:val="36"/>
                <w:szCs w:val="36"/>
              </w:rPr>
              <w:t>武汉市市直预算项目</w:t>
            </w:r>
          </w:p>
          <w:p>
            <w:pPr>
              <w:jc w:val="center"/>
              <w:rPr>
                <w:rFonts w:ascii="黑体" w:hAnsi="黑体" w:eastAsia="黑体"/>
                <w:b/>
                <w:sz w:val="32"/>
                <w:szCs w:val="32"/>
              </w:rPr>
            </w:pPr>
            <w:r>
              <w:rPr>
                <w:rFonts w:hint="eastAsia" w:ascii="黑体" w:hAnsi="黑体" w:eastAsia="黑体"/>
                <w:b/>
                <w:sz w:val="36"/>
                <w:szCs w:val="36"/>
              </w:rPr>
              <w:t>绩效自评报告</w:t>
            </w:r>
          </w:p>
          <w:p>
            <w:pPr>
              <w:jc w:val="center"/>
              <w:rPr>
                <w:rFonts w:ascii="黑体" w:hAnsi="黑体" w:eastAsia="黑体"/>
                <w:b/>
                <w:bCs/>
                <w:sz w:val="32"/>
                <w:szCs w:val="32"/>
              </w:rPr>
            </w:pP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r>
              <w:rPr>
                <w:rFonts w:hint="eastAsia" w:ascii="黑体" w:hAnsi="黑体" w:eastAsia="黑体"/>
                <w:b/>
                <w:sz w:val="32"/>
                <w:szCs w:val="32"/>
              </w:rPr>
              <w:t xml:space="preserve">          </w:t>
            </w:r>
            <w:r>
              <w:rPr>
                <w:rFonts w:hint="eastAsia" w:ascii="黑体" w:hAnsi="黑体" w:eastAsia="黑体"/>
                <w:bCs/>
                <w:sz w:val="32"/>
                <w:szCs w:val="32"/>
              </w:rPr>
              <w:t>项目名称：水利工程建设及运行维护等</w:t>
            </w:r>
          </w:p>
          <w:p>
            <w:pPr>
              <w:tabs>
                <w:tab w:val="center" w:pos="4153"/>
              </w:tabs>
              <w:ind w:left="3196" w:leftChars="760" w:hanging="1600" w:hangingChars="500"/>
              <w:rPr>
                <w:rFonts w:ascii="黑体" w:hAnsi="黑体" w:eastAsia="黑体"/>
                <w:bCs/>
                <w:sz w:val="32"/>
                <w:szCs w:val="32"/>
              </w:rPr>
            </w:pPr>
            <w:r>
              <w:rPr>
                <w:rFonts w:hint="eastAsia" w:ascii="黑体" w:hAnsi="黑体" w:eastAsia="黑体"/>
                <w:bCs/>
                <w:sz w:val="32"/>
                <w:szCs w:val="32"/>
              </w:rPr>
              <w:t>项目单位：武汉市水务局本级</w:t>
            </w:r>
          </w:p>
          <w:p>
            <w:pPr>
              <w:ind w:firstLine="1600" w:firstLineChars="500"/>
              <w:rPr>
                <w:rFonts w:ascii="黑体" w:hAnsi="黑体" w:eastAsia="黑体"/>
                <w:bCs/>
                <w:sz w:val="32"/>
                <w:szCs w:val="32"/>
              </w:rPr>
            </w:pPr>
            <w:r>
              <w:rPr>
                <w:rFonts w:hint="eastAsia" w:ascii="黑体" w:hAnsi="黑体" w:eastAsia="黑体"/>
                <w:bCs/>
                <w:sz w:val="32"/>
                <w:szCs w:val="32"/>
              </w:rPr>
              <w:t>主管部门：武汉市水务局</w:t>
            </w:r>
          </w:p>
          <w:p>
            <w:pPr>
              <w:ind w:firstLine="1600" w:firstLineChars="500"/>
              <w:rPr>
                <w:rFonts w:ascii="黑体" w:hAnsi="黑体" w:eastAsia="黑体"/>
                <w:bCs/>
                <w:sz w:val="32"/>
                <w:szCs w:val="32"/>
              </w:rPr>
            </w:pPr>
            <w:r>
              <w:rPr>
                <w:rFonts w:hint="eastAsia" w:ascii="黑体" w:hAnsi="黑体" w:eastAsia="黑体"/>
                <w:bCs/>
                <w:sz w:val="32"/>
                <w:szCs w:val="32"/>
              </w:rPr>
              <w:t>报告时间：二○一八年七月</w:t>
            </w:r>
          </w:p>
          <w:p>
            <w:pPr>
              <w:jc w:val="center"/>
              <w:rPr>
                <w:rFonts w:ascii="黑体" w:hAnsi="黑体" w:eastAsia="黑体"/>
                <w:bCs/>
                <w:sz w:val="32"/>
                <w:szCs w:val="32"/>
              </w:rPr>
            </w:pPr>
          </w:p>
          <w:p>
            <w:pPr>
              <w:jc w:val="center"/>
              <w:rPr>
                <w:rFonts w:ascii="黑体" w:hAnsi="黑体" w:eastAsia="黑体"/>
                <w:bCs/>
                <w:sz w:val="32"/>
                <w:szCs w:val="32"/>
              </w:rPr>
            </w:pPr>
          </w:p>
          <w:p>
            <w:pPr>
              <w:jc w:val="center"/>
              <w:rPr>
                <w:rFonts w:ascii="黑体" w:hAnsi="黑体" w:eastAsia="黑体"/>
                <w:bCs/>
                <w:sz w:val="32"/>
                <w:szCs w:val="32"/>
              </w:rPr>
            </w:pPr>
          </w:p>
          <w:p>
            <w:pPr>
              <w:jc w:val="center"/>
              <w:rPr>
                <w:rFonts w:ascii="仿宋_GB2312" w:eastAsia="仿宋_GB2312"/>
                <w:b/>
                <w:sz w:val="32"/>
                <w:szCs w:val="32"/>
              </w:rPr>
            </w:pPr>
          </w:p>
          <w:p>
            <w:pPr>
              <w:jc w:val="center"/>
              <w:rPr>
                <w:rFonts w:ascii="仿宋_GB2312" w:eastAsia="仿宋_GB2312"/>
                <w:b/>
                <w:sz w:val="32"/>
                <w:szCs w:val="32"/>
              </w:rPr>
            </w:pPr>
          </w:p>
        </w:tc>
      </w:tr>
    </w:tbl>
    <w:p/>
    <w:p/>
    <w:p>
      <w:pPr>
        <w:spacing w:line="360" w:lineRule="auto"/>
        <w:jc w:val="both"/>
        <w:outlineLvl w:val="0"/>
        <w:rPr>
          <w:rFonts w:ascii="黑体" w:hAnsi="黑体" w:eastAsia="黑体" w:cs="黑体"/>
          <w:bCs/>
          <w:sz w:val="28"/>
          <w:szCs w:val="28"/>
        </w:rPr>
        <w:sectPr>
          <w:footerReference r:id="rId3" w:type="default"/>
          <w:pgSz w:w="11906" w:h="16838"/>
          <w:pgMar w:top="1440" w:right="1800" w:bottom="1440" w:left="1800" w:header="851" w:footer="992" w:gutter="0"/>
          <w:pgNumType w:start="1"/>
          <w:cols w:space="720" w:num="1"/>
          <w:docGrid w:type="lines" w:linePitch="312" w:charSpace="0"/>
        </w:sectPr>
      </w:pPr>
      <w:bookmarkStart w:id="0" w:name="_Toc511502513"/>
      <w:bookmarkStart w:id="1" w:name="_Toc511502514"/>
    </w:p>
    <w:bookmarkEnd w:id="0"/>
    <w:p>
      <w:pPr>
        <w:spacing w:line="520" w:lineRule="exact"/>
        <w:jc w:val="center"/>
        <w:outlineLvl w:val="0"/>
        <w:rPr>
          <w:rFonts w:ascii="黑体" w:hAnsi="黑体" w:eastAsia="黑体" w:cs="黑体"/>
          <w:bCs/>
          <w:sz w:val="28"/>
          <w:szCs w:val="28"/>
        </w:rPr>
      </w:pPr>
      <w:r>
        <w:rPr>
          <w:rFonts w:hint="eastAsia" w:ascii="黑体" w:hAnsi="黑体" w:eastAsia="黑体" w:cs="黑体"/>
          <w:b/>
          <w:sz w:val="36"/>
          <w:szCs w:val="36"/>
          <w:lang w:val="en-US" w:eastAsia="zh-CN"/>
        </w:rPr>
        <w:t xml:space="preserve"> </w:t>
      </w:r>
      <w:bookmarkStart w:id="48" w:name="_GoBack"/>
      <w:bookmarkEnd w:id="48"/>
    </w:p>
    <w:p>
      <w:pPr>
        <w:spacing w:line="520" w:lineRule="exact"/>
        <w:ind w:firstLine="560" w:firstLineChars="200"/>
        <w:outlineLvl w:val="0"/>
        <w:rPr>
          <w:rFonts w:ascii="黑体" w:hAnsi="黑体" w:eastAsia="黑体" w:cs="黑体"/>
          <w:bCs/>
          <w:sz w:val="28"/>
          <w:szCs w:val="28"/>
        </w:rPr>
      </w:pPr>
      <w:bookmarkStart w:id="2" w:name="_Toc517708009"/>
      <w:r>
        <w:rPr>
          <w:rFonts w:hint="eastAsia" w:ascii="黑体" w:hAnsi="黑体" w:eastAsia="黑体" w:cs="黑体"/>
          <w:bCs/>
          <w:sz w:val="28"/>
          <w:szCs w:val="28"/>
        </w:rPr>
        <w:t>一、项目基本情况</w:t>
      </w:r>
      <w:bookmarkEnd w:id="1"/>
      <w:bookmarkEnd w:id="2"/>
    </w:p>
    <w:p>
      <w:pPr>
        <w:spacing w:line="520" w:lineRule="exact"/>
        <w:ind w:firstLine="560" w:firstLineChars="200"/>
        <w:outlineLvl w:val="1"/>
        <w:rPr>
          <w:rFonts w:ascii="仿宋" w:hAnsi="仿宋" w:eastAsia="仿宋"/>
          <w:bCs/>
          <w:sz w:val="28"/>
          <w:szCs w:val="28"/>
        </w:rPr>
      </w:pPr>
      <w:bookmarkStart w:id="3" w:name="_Toc511502515"/>
      <w:bookmarkStart w:id="4" w:name="_Toc517708010"/>
      <w:r>
        <w:rPr>
          <w:rFonts w:hint="eastAsia" w:ascii="仿宋" w:hAnsi="仿宋" w:eastAsia="仿宋"/>
          <w:bCs/>
          <w:sz w:val="28"/>
          <w:szCs w:val="28"/>
        </w:rPr>
        <w:t>（一）</w:t>
      </w:r>
      <w:bookmarkEnd w:id="3"/>
      <w:r>
        <w:rPr>
          <w:rFonts w:hint="eastAsia" w:ascii="仿宋" w:hAnsi="仿宋" w:eastAsia="仿宋"/>
          <w:bCs/>
          <w:sz w:val="28"/>
          <w:szCs w:val="28"/>
        </w:rPr>
        <w:t>项目概况</w:t>
      </w:r>
      <w:bookmarkEnd w:id="4"/>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武汉市水务局本级下设规划计划科技处、水资源处、河道堤防和采砂处、排水管理处、污水管理处、供用水管理处、水利水保处等七个主要业务处室。以上业务处室分别主要负责水务规划、计划和水务科技发展工作，编制水务区域综合规划、组织国民经济总体规划中有关水务方面的重大论证工作；全市水资源的统一管理、保护和节约；河道堤防建设及整险加固、负责排水管理及排水防涝指挥调度、城镇市政污水管理和重点水体水环境水生态修复工作、供用水行业管理、农村水利和水土保持工作等。以上项目工作的实施聚力“四水共治”生命线工程，紧扣打造滨水生态绿城目标，开创水生态文明城市建设，实现了“四水共治”良好开局。</w:t>
      </w:r>
    </w:p>
    <w:p>
      <w:pPr>
        <w:spacing w:line="520" w:lineRule="exact"/>
        <w:ind w:firstLine="560" w:firstLineChars="200"/>
        <w:outlineLvl w:val="1"/>
        <w:rPr>
          <w:rFonts w:ascii="仿宋" w:hAnsi="仿宋" w:eastAsia="仿宋"/>
          <w:bCs/>
          <w:sz w:val="28"/>
          <w:szCs w:val="28"/>
        </w:rPr>
      </w:pPr>
      <w:bookmarkStart w:id="5" w:name="_Toc517708011"/>
      <w:bookmarkStart w:id="6" w:name="_Toc511502516"/>
      <w:r>
        <w:rPr>
          <w:rFonts w:hint="eastAsia" w:ascii="仿宋" w:hAnsi="仿宋" w:eastAsia="仿宋"/>
          <w:bCs/>
          <w:sz w:val="28"/>
          <w:szCs w:val="28"/>
        </w:rPr>
        <w:t>（二）项目预算绩效目标</w:t>
      </w:r>
      <w:bookmarkEnd w:id="5"/>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项目绩效目标是根据武汉市水生态文明建设规划要求，确保“水安、水清、水净、水优”，为经济发展、人民财产安全、社会稳定提供有力保障，同时改善武汉市人居环境和投资环境，发挥滨江景观整体效益。主要项目具体绩效指标设置情况见报告后附项目申报及绩效目标明细表。</w:t>
      </w:r>
    </w:p>
    <w:p>
      <w:pPr>
        <w:spacing w:line="520" w:lineRule="exact"/>
        <w:ind w:firstLine="560" w:firstLineChars="200"/>
        <w:outlineLvl w:val="1"/>
        <w:rPr>
          <w:rFonts w:ascii="仿宋" w:hAnsi="仿宋" w:eastAsia="仿宋"/>
          <w:bCs/>
          <w:sz w:val="28"/>
          <w:szCs w:val="28"/>
        </w:rPr>
      </w:pPr>
      <w:bookmarkStart w:id="7" w:name="_Toc517708012"/>
      <w:r>
        <w:rPr>
          <w:rFonts w:hint="eastAsia" w:ascii="仿宋" w:hAnsi="仿宋" w:eastAsia="仿宋"/>
          <w:bCs/>
          <w:sz w:val="28"/>
          <w:szCs w:val="28"/>
        </w:rPr>
        <w:t>（三）经费来源及支出情况</w:t>
      </w:r>
      <w:bookmarkEnd w:id="6"/>
      <w:bookmarkEnd w:id="7"/>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2017年项目年初预算投资32733.56万元，其中一般公共预算财政拨款收入30879.46万元、其他收入253.79万元、上年结转财政拨款1600.31万元。调整后预算数为35584.19万元。项目预算投资主要为：灾后水利设施建设项目1100万元、汉口江滩（长江二桥-武汉关）功能与景观提升工程900万元、长江武汉河段汉阳江滩防洪及环境综合整治续建工程2300万元、武青堤（铁机路-武丰闸段）江滩防洪及环境综合整治工程（武昌段）8000万元、青山港及二号明渠综合整治3800万元、港西泵站、许家村泵站运行维护补助800万元、区管江滩堤防设施维护管理补助2903万元、堤防整险加固2679万元、排水设施维修改造3370万元、水务应急项目资金2000万元、税务规划及前期工作1640万元等。</w:t>
      </w:r>
    </w:p>
    <w:p>
      <w:pPr>
        <w:spacing w:line="520" w:lineRule="exact"/>
        <w:ind w:firstLine="560" w:firstLineChars="200"/>
        <w:rPr>
          <w:rFonts w:hint="eastAsia" w:ascii="仿宋" w:hAnsi="仿宋" w:eastAsia="仿宋"/>
          <w:bCs/>
          <w:sz w:val="28"/>
          <w:szCs w:val="28"/>
          <w:lang w:val="en-US" w:eastAsia="zh-CN"/>
        </w:rPr>
      </w:pPr>
      <w:r>
        <w:rPr>
          <w:rFonts w:hint="eastAsia" w:ascii="仿宋" w:hAnsi="仿宋" w:eastAsia="仿宋"/>
          <w:bCs/>
          <w:sz w:val="28"/>
          <w:szCs w:val="28"/>
        </w:rPr>
        <w:t>截止2017年12月31日，预算项目支出34638.93万元，主要为：灾后水利设施建设项目1100.00万元、武青堤（铁机路-武丰闸段）江滩防洪及环境综合整治工程（武昌段）8000万元、长江武汉河段汉阳江滩防洪及环境综合整治续建工程2300万元、青山港及二号明渠综合整治3800万元、排水设施维修改造1171万元、排水设施灾后重建4129.62万元、全市新增设施量管理维护等支出2877.4万元、江河湖库水系综合整治资金3000万元等。</w:t>
      </w:r>
      <w:r>
        <w:rPr>
          <w:rFonts w:hint="eastAsia" w:ascii="仿宋" w:hAnsi="仿宋" w:eastAsia="仿宋"/>
          <w:bCs/>
          <w:sz w:val="28"/>
          <w:szCs w:val="28"/>
          <w:lang w:val="en-US" w:eastAsia="zh-CN"/>
        </w:rPr>
        <w:t xml:space="preserve"> </w:t>
      </w:r>
    </w:p>
    <w:p>
      <w:pPr>
        <w:spacing w:line="520" w:lineRule="exact"/>
        <w:ind w:firstLine="562" w:firstLineChars="200"/>
        <w:outlineLvl w:val="0"/>
        <w:rPr>
          <w:rFonts w:ascii="黑体" w:hAnsi="黑体" w:eastAsia="黑体" w:cs="黑体"/>
          <w:b/>
          <w:bCs/>
          <w:sz w:val="28"/>
          <w:szCs w:val="28"/>
        </w:rPr>
      </w:pPr>
      <w:bookmarkStart w:id="8" w:name="_Toc7334"/>
      <w:bookmarkStart w:id="9" w:name="_Toc517708013"/>
      <w:bookmarkStart w:id="10" w:name="_Toc511502532"/>
      <w:r>
        <w:rPr>
          <w:rFonts w:hint="eastAsia" w:ascii="黑体" w:hAnsi="黑体" w:eastAsia="黑体" w:cs="黑体"/>
          <w:b/>
          <w:bCs/>
          <w:sz w:val="28"/>
          <w:szCs w:val="28"/>
        </w:rPr>
        <w:t>二、绩效评价工作情况</w:t>
      </w:r>
      <w:bookmarkEnd w:id="8"/>
      <w:bookmarkEnd w:id="9"/>
      <w:bookmarkEnd w:id="10"/>
    </w:p>
    <w:p>
      <w:pPr>
        <w:spacing w:line="560" w:lineRule="exact"/>
        <w:ind w:firstLine="560" w:firstLineChars="200"/>
        <w:outlineLvl w:val="1"/>
        <w:rPr>
          <w:rFonts w:ascii="仿宋" w:hAnsi="仿宋" w:eastAsia="仿宋"/>
          <w:sz w:val="28"/>
          <w:szCs w:val="28"/>
        </w:rPr>
      </w:pPr>
      <w:bookmarkStart w:id="11" w:name="_Toc19011"/>
      <w:bookmarkStart w:id="12" w:name="_Toc511502533"/>
      <w:bookmarkStart w:id="13" w:name="_Toc517708014"/>
      <w:r>
        <w:rPr>
          <w:rFonts w:hint="eastAsia" w:ascii="仿宋" w:hAnsi="仿宋" w:eastAsia="仿宋"/>
          <w:sz w:val="28"/>
          <w:szCs w:val="28"/>
        </w:rPr>
        <w:t>（一）绩效评价目的</w:t>
      </w:r>
      <w:bookmarkEnd w:id="11"/>
      <w:bookmarkEnd w:id="12"/>
      <w:bookmarkEnd w:id="13"/>
    </w:p>
    <w:p>
      <w:pPr>
        <w:spacing w:line="520" w:lineRule="exact"/>
        <w:ind w:firstLine="560" w:firstLineChars="200"/>
        <w:rPr>
          <w:rFonts w:ascii="仿宋" w:hAnsi="仿宋" w:eastAsia="仿宋"/>
          <w:sz w:val="28"/>
          <w:szCs w:val="28"/>
        </w:rPr>
      </w:pPr>
      <w:r>
        <w:rPr>
          <w:rFonts w:hint="eastAsia" w:ascii="仿宋" w:hAnsi="仿宋" w:eastAsia="仿宋"/>
          <w:sz w:val="28"/>
          <w:szCs w:val="28"/>
        </w:rPr>
        <w:t>通过绩效评价，形成真实完整、数据准确、分析透彻、逻辑清晰、客观公正的绩效评价结论，为后期武汉市水务局强化预算绩效管理提供重要依据。通过绩效评价，从效率的角度分析，准确掌握</w:t>
      </w:r>
      <w:r>
        <w:rPr>
          <w:rFonts w:hint="eastAsia" w:ascii="仿宋" w:hAnsi="仿宋" w:eastAsia="仿宋"/>
          <w:bCs/>
          <w:sz w:val="28"/>
          <w:szCs w:val="28"/>
        </w:rPr>
        <w:t>项目</w:t>
      </w:r>
      <w:r>
        <w:rPr>
          <w:rFonts w:hint="eastAsia" w:ascii="仿宋" w:hAnsi="仿宋" w:eastAsia="仿宋"/>
          <w:sz w:val="28"/>
          <w:szCs w:val="28"/>
        </w:rPr>
        <w:t>的实施情况、资金使用情况，发现项目实施的困难和问题，总结项目实施的经验和教训，为项目实施的进一步深化提供有益帮助。</w:t>
      </w:r>
    </w:p>
    <w:p>
      <w:pPr>
        <w:spacing w:line="520" w:lineRule="exact"/>
        <w:ind w:firstLine="560" w:firstLineChars="200"/>
        <w:outlineLvl w:val="1"/>
        <w:rPr>
          <w:rFonts w:ascii="仿宋" w:hAnsi="仿宋" w:eastAsia="仿宋"/>
          <w:sz w:val="28"/>
          <w:szCs w:val="28"/>
        </w:rPr>
      </w:pPr>
      <w:bookmarkStart w:id="14" w:name="_Toc30201"/>
      <w:bookmarkStart w:id="15" w:name="_Toc511502534"/>
      <w:bookmarkStart w:id="16" w:name="_Toc517708015"/>
      <w:r>
        <w:rPr>
          <w:rFonts w:hint="eastAsia" w:ascii="仿宋" w:hAnsi="仿宋" w:eastAsia="仿宋"/>
          <w:sz w:val="28"/>
          <w:szCs w:val="28"/>
        </w:rPr>
        <w:t>（二）绩效评价框架</w:t>
      </w:r>
      <w:bookmarkEnd w:id="14"/>
      <w:bookmarkEnd w:id="15"/>
      <w:bookmarkEnd w:id="16"/>
    </w:p>
    <w:p>
      <w:pPr>
        <w:spacing w:line="520" w:lineRule="exact"/>
        <w:ind w:firstLine="560" w:firstLineChars="200"/>
        <w:rPr>
          <w:rFonts w:ascii="仿宋" w:hAnsi="仿宋" w:eastAsia="仿宋"/>
          <w:sz w:val="28"/>
          <w:szCs w:val="28"/>
        </w:rPr>
      </w:pPr>
      <w:r>
        <w:rPr>
          <w:rFonts w:hint="eastAsia" w:ascii="仿宋" w:hAnsi="仿宋" w:eastAsia="仿宋"/>
          <w:sz w:val="28"/>
          <w:szCs w:val="28"/>
        </w:rPr>
        <w:t>绩效评价框架是开展绩效评价的核心，绩效评价框架包括各级指标名称、权重、指标解释、指标说明、目标值、绩效标准和评分细则等方面。</w:t>
      </w:r>
      <w:r>
        <w:rPr>
          <w:rFonts w:hint="eastAsia" w:ascii="仿宋" w:hAnsi="仿宋" w:eastAsia="仿宋"/>
          <w:bCs/>
          <w:sz w:val="28"/>
          <w:szCs w:val="28"/>
        </w:rPr>
        <w:t>项目</w:t>
      </w:r>
      <w:r>
        <w:rPr>
          <w:rFonts w:hint="eastAsia" w:ascii="仿宋" w:hAnsi="仿宋" w:eastAsia="仿宋"/>
          <w:sz w:val="28"/>
          <w:szCs w:val="28"/>
        </w:rPr>
        <w:t>绩效评价指标体系的设计参照《湖北省财政支出绩效评价指标体系框架》，投入和过程在此框架的基础上结合项目的特点适当进行完善，产出和效果根据项目特点进行了细化。</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1.评价指标</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第一步，采用层次分析法，建立评价指标库。绩效评价将指标分为投入、过程、产出和效果四个层次，最终形成一个由多个相互联系的指标组成的多层次指标体系。</w:t>
      </w:r>
      <w:r>
        <w:rPr>
          <w:rFonts w:hint="eastAsia" w:ascii="仿宋" w:hAnsi="仿宋" w:eastAsia="仿宋"/>
          <w:sz w:val="28"/>
          <w:szCs w:val="28"/>
        </w:rPr>
        <mc:AlternateContent>
          <mc:Choice Requires="wps">
            <w:drawing>
              <wp:anchor distT="0" distB="0" distL="114300" distR="114300" simplePos="0" relativeHeight="251659264" behindDoc="0" locked="0" layoutInCell="1" allowOverlap="1">
                <wp:simplePos x="0" y="0"/>
                <wp:positionH relativeFrom="column">
                  <wp:posOffset>-3400425</wp:posOffset>
                </wp:positionH>
                <wp:positionV relativeFrom="paragraph">
                  <wp:posOffset>152400</wp:posOffset>
                </wp:positionV>
                <wp:extent cx="76200" cy="3962400"/>
                <wp:effectExtent l="4445" t="4445" r="14605" b="14605"/>
                <wp:wrapNone/>
                <wp:docPr id="2" name="AutoShape 48"/>
                <wp:cNvGraphicFramePr/>
                <a:graphic xmlns:a="http://schemas.openxmlformats.org/drawingml/2006/main">
                  <a:graphicData uri="http://schemas.microsoft.com/office/word/2010/wordprocessingShape">
                    <wps:wsp>
                      <wps:cNvSpPr/>
                      <wps:spPr>
                        <a:xfrm>
                          <a:off x="0" y="0"/>
                          <a:ext cx="76200" cy="3962400"/>
                        </a:xfrm>
                        <a:prstGeom prst="leftBrace">
                          <a:avLst>
                            <a:gd name="adj1" fmla="val 433333"/>
                            <a:gd name="adj2" fmla="val 5162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AutoShape 48" o:spid="_x0000_s1026" o:spt="87" type="#_x0000_t87" style="position:absolute;left:0pt;margin-left:-267.75pt;margin-top:12pt;height:312pt;width:6pt;z-index:251659264;mso-width-relative:page;mso-height-relative:page;" filled="f" stroked="t" coordsize="21600,21600" o:gfxdata="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Vfbv02wAAAAwBAAAPAAAAAAAAAAEAIAAAACIAAABkcnMvZG93bnJldi54bWxQSwEC&#10;FAAUAAAACACHTuJAhwOp6/EBAAD3AwAADgAAAAAAAAABACAAAAAqAQAAZHJzL2Uyb0RvYy54bWxQ&#10;SwUGAAAAAAYABgBZAQAAjQUAAAAA&#10;" adj="1799,11150">
                <v:fill on="f" focussize="0,0"/>
                <v:stroke color="#000000" joinstyle="round"/>
                <v:imagedata o:title=""/>
                <o:lock v:ext="edit" aspectratio="f"/>
              </v:shape>
            </w:pict>
          </mc:Fallback>
        </mc:AlternateContent>
      </w:r>
      <w:r>
        <w:rPr>
          <w:rFonts w:hint="eastAsia" w:ascii="仿宋" w:hAnsi="仿宋" w:eastAsia="仿宋"/>
          <w:sz w:val="28"/>
          <w:szCs w:val="28"/>
        </w:rPr>
        <w:t>第二步，采用调查法，确定评价指标。评价指标体系建立后，对指标库中的指标进行分析、权衡、补充、选择，最后确定评价指标。在此基础上最终形成项目绩效评价指标体系，设置了4个一级指标、11个二级指标、26个三级指标。</w:t>
      </w:r>
    </w:p>
    <w:p>
      <w:pPr>
        <w:tabs>
          <w:tab w:val="center" w:pos="4549"/>
        </w:tabs>
        <w:spacing w:line="360" w:lineRule="auto"/>
        <w:ind w:firstLine="700" w:firstLineChars="250"/>
        <w:jc w:val="left"/>
        <w:rPr>
          <w:rFonts w:ascii="仿宋" w:hAnsi="仿宋" w:eastAsia="仿宋"/>
          <w:sz w:val="28"/>
          <w:szCs w:val="28"/>
        </w:rPr>
      </w:pPr>
      <w:r>
        <w:rPr>
          <w:rFonts w:hint="eastAsia" w:ascii="宋体" w:hAnsi="宋体"/>
          <w:sz w:val="28"/>
          <w:szCs w:val="28"/>
        </w:rPr>
        <w:t>2.</w:t>
      </w:r>
      <w:r>
        <w:rPr>
          <w:rFonts w:hint="eastAsia" w:ascii="仿宋" w:hAnsi="仿宋" w:eastAsia="仿宋"/>
          <w:sz w:val="28"/>
          <w:szCs w:val="28"/>
        </w:rPr>
        <w:t>权重</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根据本项目特点及各指标维度、类别考评内容，确定各个指标相对于项目总体绩效的权重分值。最终确的项目投入权重为12%，项目过程权重值占28%，项目产出权重值占33%，项目效益权重值占27%。</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3.指标说明</w:t>
      </w:r>
    </w:p>
    <w:p>
      <w:pPr>
        <w:spacing w:line="520" w:lineRule="exact"/>
        <w:ind w:firstLine="560" w:firstLineChars="200"/>
        <w:rPr>
          <w:rFonts w:ascii="仿宋" w:hAnsi="仿宋" w:eastAsia="仿宋"/>
          <w:sz w:val="28"/>
          <w:szCs w:val="28"/>
        </w:rPr>
      </w:pPr>
      <w:r>
        <w:rPr>
          <w:rFonts w:hint="eastAsia" w:ascii="仿宋" w:hAnsi="仿宋" w:eastAsia="仿宋"/>
          <w:bCs/>
          <w:sz w:val="28"/>
          <w:szCs w:val="28"/>
        </w:rPr>
        <w:t>项目</w:t>
      </w:r>
      <w:r>
        <w:rPr>
          <w:rFonts w:hint="eastAsia" w:ascii="仿宋" w:hAnsi="仿宋" w:eastAsia="仿宋"/>
          <w:sz w:val="28"/>
          <w:szCs w:val="28"/>
        </w:rPr>
        <w:t>绩效评价指标体系指标说明确定了三级指标评分的要点，指出定性指标的评价核心，定量指标的指标实现值的计算公式、数据口径，说明了26个三级指标设置的目的，指导三级指标评价的方向。</w:t>
      </w:r>
    </w:p>
    <w:p>
      <w:pPr>
        <w:spacing w:line="520" w:lineRule="exact"/>
        <w:ind w:firstLine="560" w:firstLineChars="200"/>
        <w:rPr>
          <w:rFonts w:ascii="仿宋" w:hAnsi="仿宋" w:eastAsia="仿宋"/>
          <w:sz w:val="28"/>
          <w:szCs w:val="28"/>
        </w:rPr>
      </w:pPr>
      <w:bookmarkStart w:id="17" w:name="_1460038730"/>
      <w:bookmarkEnd w:id="17"/>
      <w:bookmarkStart w:id="18" w:name="_1460181815"/>
      <w:bookmarkEnd w:id="18"/>
      <w:bookmarkStart w:id="19" w:name="_1460038655"/>
      <w:bookmarkEnd w:id="19"/>
      <w:bookmarkStart w:id="20" w:name="_1460038714"/>
      <w:bookmarkEnd w:id="20"/>
      <w:bookmarkStart w:id="21" w:name="_1460038687"/>
      <w:bookmarkEnd w:id="21"/>
      <w:bookmarkStart w:id="22" w:name="_1460038659"/>
      <w:bookmarkEnd w:id="22"/>
      <w:r>
        <w:rPr>
          <w:rFonts w:hint="eastAsia" w:ascii="仿宋" w:hAnsi="仿宋" w:eastAsia="仿宋"/>
          <w:sz w:val="28"/>
          <w:szCs w:val="28"/>
        </w:rPr>
        <w:t>4.指标目标值</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指标目标值是绩效评价指标的尺度，既要反映同类项目的先进水平，又要符合项目的实际绩效水平。</w:t>
      </w:r>
      <w:r>
        <w:rPr>
          <w:rFonts w:hint="eastAsia" w:ascii="仿宋" w:hAnsi="仿宋" w:eastAsia="仿宋"/>
          <w:bCs/>
          <w:sz w:val="28"/>
          <w:szCs w:val="28"/>
        </w:rPr>
        <w:t>项目</w:t>
      </w:r>
      <w:r>
        <w:rPr>
          <w:rFonts w:hint="eastAsia" w:ascii="仿宋" w:hAnsi="仿宋" w:eastAsia="仿宋"/>
          <w:sz w:val="28"/>
          <w:szCs w:val="28"/>
        </w:rPr>
        <w:t>绩效评价指标目标值以项目计划目标确定。</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5.绩效标准</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此次绩效评价指标标准为行业标准和计划标准。项目管理和财务管理采用国家财务相关法律法规，产出和效果指标采用计划指标值作为绩效评价标准。</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6.评分细则</w:t>
      </w:r>
    </w:p>
    <w:p>
      <w:pPr>
        <w:spacing w:line="520" w:lineRule="exact"/>
        <w:ind w:firstLine="560" w:firstLineChars="200"/>
        <w:rPr>
          <w:rFonts w:ascii="仿宋" w:hAnsi="仿宋" w:eastAsia="仿宋"/>
          <w:sz w:val="28"/>
          <w:szCs w:val="28"/>
        </w:rPr>
      </w:pPr>
      <w:r>
        <w:rPr>
          <w:rFonts w:hint="eastAsia" w:ascii="仿宋" w:hAnsi="仿宋" w:eastAsia="仿宋"/>
          <w:bCs/>
          <w:sz w:val="28"/>
          <w:szCs w:val="28"/>
        </w:rPr>
        <w:t>项目</w:t>
      </w:r>
      <w:r>
        <w:rPr>
          <w:rFonts w:hint="eastAsia" w:ascii="仿宋" w:hAnsi="仿宋" w:eastAsia="仿宋"/>
          <w:sz w:val="28"/>
          <w:szCs w:val="28"/>
        </w:rPr>
        <w:t>绩效评价指标体系中三级指标评分是在指标说明评分要点的基础上进行的，定性指标对评分要点分段量化得分，定量指标按量化量直接评分。通过项目实施单位项目档案、财务资料进行检查，结合问卷调查和实地考察情况，项目组对项目的实施进展情况对每个指标进行独立评价和打分，在此基础上形成项目的整体得分。</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根据《湖北省财政项目资金绩效评价操作指南》中财政项目绩效评价结果级别评定相关要求，绩效评价总分值100分，根据综合评分结果，90分以上的为优秀、80-90分为良好，60-80分为中等，60分以下为差。</w:t>
      </w:r>
    </w:p>
    <w:p>
      <w:pPr>
        <w:spacing w:line="520" w:lineRule="exact"/>
        <w:ind w:firstLine="560" w:firstLineChars="200"/>
        <w:outlineLvl w:val="0"/>
        <w:rPr>
          <w:rFonts w:ascii="黑体" w:hAnsi="黑体" w:eastAsia="黑体" w:cs="黑体"/>
          <w:sz w:val="28"/>
          <w:szCs w:val="28"/>
        </w:rPr>
      </w:pPr>
      <w:bookmarkStart w:id="23" w:name="_Toc517708016"/>
      <w:bookmarkStart w:id="24" w:name="_Toc511502536"/>
      <w:r>
        <w:rPr>
          <w:rFonts w:hint="eastAsia" w:ascii="黑体" w:hAnsi="黑体" w:eastAsia="黑体" w:cs="黑体"/>
          <w:sz w:val="28"/>
          <w:szCs w:val="28"/>
        </w:rPr>
        <w:t>三、绩效分析及评价结论</w:t>
      </w:r>
      <w:bookmarkEnd w:id="23"/>
      <w:bookmarkEnd w:id="24"/>
    </w:p>
    <w:p>
      <w:pPr>
        <w:spacing w:line="520" w:lineRule="exact"/>
        <w:ind w:firstLine="560" w:firstLineChars="200"/>
        <w:outlineLvl w:val="1"/>
        <w:rPr>
          <w:rFonts w:ascii="仿宋" w:hAnsi="仿宋" w:eastAsia="仿宋"/>
          <w:sz w:val="28"/>
          <w:szCs w:val="28"/>
        </w:rPr>
      </w:pPr>
      <w:bookmarkStart w:id="25" w:name="_Toc8923"/>
      <w:bookmarkStart w:id="26" w:name="_Toc517708017"/>
      <w:bookmarkStart w:id="27" w:name="_Toc511502539"/>
      <w:r>
        <w:rPr>
          <w:rFonts w:hint="eastAsia" w:ascii="仿宋" w:hAnsi="仿宋" w:eastAsia="仿宋"/>
          <w:sz w:val="28"/>
          <w:szCs w:val="28"/>
        </w:rPr>
        <w:t>（一）</w:t>
      </w:r>
      <w:bookmarkEnd w:id="25"/>
      <w:r>
        <w:rPr>
          <w:rFonts w:hint="eastAsia" w:ascii="仿宋" w:hAnsi="仿宋" w:eastAsia="仿宋"/>
          <w:sz w:val="28"/>
          <w:szCs w:val="28"/>
        </w:rPr>
        <w:t>绩效分析及绩效指标完成情况</w:t>
      </w:r>
      <w:bookmarkEnd w:id="26"/>
      <w:bookmarkEnd w:id="27"/>
    </w:p>
    <w:p>
      <w:pPr>
        <w:spacing w:line="520" w:lineRule="exact"/>
        <w:outlineLvl w:val="2"/>
        <w:rPr>
          <w:rFonts w:ascii="仿宋" w:hAnsi="仿宋" w:eastAsia="仿宋"/>
          <w:bCs/>
          <w:sz w:val="28"/>
          <w:szCs w:val="28"/>
        </w:rPr>
      </w:pPr>
      <w:r>
        <w:rPr>
          <w:rFonts w:hint="eastAsia" w:ascii="仿宋" w:hAnsi="仿宋" w:eastAsia="仿宋"/>
          <w:bCs/>
          <w:sz w:val="28"/>
          <w:szCs w:val="28"/>
        </w:rPr>
        <w:t xml:space="preserve">    </w:t>
      </w:r>
      <w:bookmarkStart w:id="28" w:name="_Toc517708018"/>
      <w:r>
        <w:rPr>
          <w:rFonts w:hint="eastAsia" w:ascii="仿宋" w:hAnsi="仿宋" w:eastAsia="仿宋"/>
          <w:bCs/>
          <w:sz w:val="28"/>
          <w:szCs w:val="28"/>
        </w:rPr>
        <w:t>1.项目投入</w:t>
      </w:r>
      <w:bookmarkEnd w:id="28"/>
    </w:p>
    <w:p>
      <w:pPr>
        <w:spacing w:line="520" w:lineRule="exact"/>
        <w:ind w:firstLine="560" w:firstLineChars="200"/>
        <w:rPr>
          <w:rFonts w:ascii="仿宋" w:hAnsi="仿宋" w:eastAsia="仿宋"/>
          <w:sz w:val="28"/>
          <w:szCs w:val="28"/>
        </w:rPr>
      </w:pPr>
      <w:r>
        <w:rPr>
          <w:rFonts w:hint="eastAsia" w:ascii="仿宋" w:hAnsi="仿宋" w:eastAsia="仿宋"/>
          <w:sz w:val="28"/>
          <w:szCs w:val="28"/>
        </w:rPr>
        <w:t>本项指标总分为12分，实际得分10.87分，得分率90.58%，项目投入具体评价如下：</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（1）依据充分性</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2017年武汉市水务局本级水利工程建设及运行维护项目立项依据充分，与部门职能息息相关，项目申报的主要内容完整。</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（2）目标合理性</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项目绩效目标是根据武汉市水生态文明建设规划要求，确保“水安、水清、水净、水优”，为经济发展、人民财产安全、社会稳定提供有力保障。同时改善武汉市人居环境和投资环境，发挥滨江景观整体效益。该目标体现了武汉市水务局本级主要业务处室工作的职责，项目预期产出效益和效果符合正常的业绩水平。</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（3）指标明确性</w:t>
      </w:r>
    </w:p>
    <w:p>
      <w:pPr>
        <w:spacing w:line="520" w:lineRule="exact"/>
        <w:ind w:firstLine="555"/>
        <w:rPr>
          <w:rFonts w:ascii="仿宋" w:hAnsi="仿宋" w:eastAsia="仿宋"/>
          <w:bCs/>
          <w:sz w:val="28"/>
          <w:szCs w:val="28"/>
        </w:rPr>
      </w:pPr>
      <w:r>
        <w:rPr>
          <w:rFonts w:hint="eastAsia" w:ascii="仿宋" w:hAnsi="仿宋" w:eastAsia="仿宋"/>
          <w:bCs/>
          <w:sz w:val="28"/>
          <w:szCs w:val="28"/>
        </w:rPr>
        <w:t>项目设立了年度绩效指标。部分项目绩效目标申报表设置的效益指标可衡量程度不够。</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（4）资金执行率</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lang w:val="en-US" w:eastAsia="zh-CN"/>
        </w:rPr>
        <w:t xml:space="preserve"> </w:t>
      </w:r>
      <w:r>
        <w:rPr>
          <w:rFonts w:hint="eastAsia" w:ascii="仿宋" w:hAnsi="仿宋" w:eastAsia="仿宋"/>
          <w:bCs/>
          <w:sz w:val="28"/>
          <w:szCs w:val="28"/>
        </w:rPr>
        <w:t>2017年调整后项目支出预算35584.19万元，预算实际支出34638.93万元，项目预算执行率为97.34</w:t>
      </w:r>
      <w:r>
        <w:rPr>
          <w:rFonts w:ascii="仿宋" w:hAnsi="仿宋" w:eastAsia="仿宋"/>
          <w:bCs/>
          <w:sz w:val="28"/>
          <w:szCs w:val="28"/>
        </w:rPr>
        <w:t>%</w:t>
      </w:r>
      <w:r>
        <w:rPr>
          <w:rFonts w:hint="eastAsia" w:ascii="仿宋" w:hAnsi="仿宋" w:eastAsia="仿宋"/>
          <w:bCs/>
          <w:sz w:val="28"/>
          <w:szCs w:val="28"/>
        </w:rPr>
        <w:t>。</w:t>
      </w:r>
    </w:p>
    <w:p>
      <w:pPr>
        <w:spacing w:line="520" w:lineRule="exact"/>
        <w:ind w:firstLine="560" w:firstLineChars="200"/>
        <w:outlineLvl w:val="2"/>
        <w:rPr>
          <w:rFonts w:ascii="仿宋" w:hAnsi="仿宋" w:eastAsia="仿宋"/>
          <w:bCs/>
          <w:sz w:val="28"/>
          <w:szCs w:val="28"/>
        </w:rPr>
      </w:pPr>
      <w:bookmarkStart w:id="29" w:name="_Toc517708019"/>
      <w:r>
        <w:rPr>
          <w:rFonts w:hint="eastAsia" w:ascii="仿宋" w:hAnsi="仿宋" w:eastAsia="仿宋"/>
          <w:bCs/>
          <w:sz w:val="28"/>
          <w:szCs w:val="28"/>
        </w:rPr>
        <w:t>2.项目过程</w:t>
      </w:r>
      <w:bookmarkEnd w:id="29"/>
    </w:p>
    <w:p>
      <w:pPr>
        <w:spacing w:line="520" w:lineRule="exact"/>
        <w:ind w:firstLine="560" w:firstLineChars="200"/>
        <w:rPr>
          <w:rFonts w:ascii="仿宋" w:hAnsi="仿宋" w:eastAsia="仿宋"/>
          <w:sz w:val="28"/>
          <w:szCs w:val="28"/>
        </w:rPr>
      </w:pPr>
      <w:r>
        <w:rPr>
          <w:rFonts w:hint="eastAsia" w:ascii="仿宋" w:hAnsi="仿宋" w:eastAsia="仿宋"/>
          <w:bCs/>
          <w:sz w:val="28"/>
          <w:szCs w:val="28"/>
        </w:rPr>
        <w:t>项目资金的使用符合国家财经法规和财务管理制度以及有关专项资管理办法的规定。项目资金拨付与使用有较完整的审批流程和手续，独立核算，账簿齐全，账务处理较为规范，并制定了相应的财务监控机制。项目管理所需人员、设备设施等条件落实到位，项目基本建设程序管理、项目工程质量管理、项目档案管理制度健全且得到执行, 项目单位基本建设管理程序落实到位。本项指标总分为28分，实际得27分，得分率96.43%,项目</w:t>
      </w:r>
      <w:r>
        <w:rPr>
          <w:rFonts w:hint="eastAsia" w:ascii="仿宋" w:hAnsi="仿宋" w:eastAsia="仿宋"/>
          <w:sz w:val="28"/>
          <w:szCs w:val="28"/>
        </w:rPr>
        <w:t>投入具体评价如下：</w:t>
      </w:r>
    </w:p>
    <w:p>
      <w:pPr>
        <w:spacing w:line="520" w:lineRule="exact"/>
        <w:ind w:firstLine="420" w:firstLineChars="150"/>
        <w:rPr>
          <w:rFonts w:ascii="仿宋" w:hAnsi="仿宋" w:eastAsia="仿宋"/>
          <w:bCs/>
          <w:sz w:val="28"/>
          <w:szCs w:val="28"/>
        </w:rPr>
      </w:pPr>
      <w:r>
        <w:rPr>
          <w:rFonts w:hint="eastAsia" w:ascii="仿宋" w:hAnsi="仿宋" w:eastAsia="仿宋"/>
          <w:bCs/>
          <w:sz w:val="28"/>
          <w:szCs w:val="28"/>
        </w:rPr>
        <w:t>（1）财务管理制度健全性</w:t>
      </w:r>
    </w:p>
    <w:p>
      <w:pPr>
        <w:spacing w:line="520" w:lineRule="exact"/>
        <w:ind w:firstLine="560" w:firstLineChars="200"/>
        <w:jc w:val="both"/>
        <w:rPr>
          <w:rFonts w:ascii="仿宋" w:hAnsi="仿宋" w:eastAsia="仿宋"/>
          <w:bCs/>
          <w:sz w:val="28"/>
          <w:szCs w:val="28"/>
        </w:rPr>
      </w:pPr>
      <w:r>
        <w:rPr>
          <w:rFonts w:hint="eastAsia" w:ascii="仿宋" w:hAnsi="仿宋" w:eastAsia="仿宋"/>
          <w:bCs/>
          <w:sz w:val="28"/>
          <w:szCs w:val="28"/>
        </w:rPr>
        <w:t>为规范财务行为，加强局本级的财务管理，提高资金使用效益，切实保障水务系统各项工作的正常运行，结合水务事业发展的需要，</w:t>
      </w:r>
      <w:r>
        <w:rPr>
          <w:rFonts w:hint="eastAsia" w:ascii="仿宋" w:hAnsi="仿宋" w:eastAsia="仿宋"/>
          <w:bCs/>
          <w:sz w:val="28"/>
          <w:szCs w:val="28"/>
          <w:lang w:val="en-US" w:eastAsia="zh-CN"/>
        </w:rPr>
        <w:t xml:space="preserve"> </w:t>
      </w:r>
      <w:r>
        <w:rPr>
          <w:rFonts w:hint="eastAsia" w:ascii="仿宋" w:hAnsi="仿宋" w:eastAsia="仿宋"/>
          <w:bCs/>
          <w:sz w:val="28"/>
          <w:szCs w:val="28"/>
        </w:rPr>
        <w:t>制定和印发了《武汉市水务局系统财务管理制度》、《武汉市水务局基本建设资金管理暂行规定》、《武汉市水务局政府采购工作管理办法》、《武汉市水务局合同管理办法暂行》、《市水务局国有资产管理暂行办法》，财务管理制度较健全，建立严格的财务报销制度和严格印鉴管理机制。</w:t>
      </w:r>
    </w:p>
    <w:p>
      <w:pPr>
        <w:spacing w:line="520" w:lineRule="exact"/>
        <w:ind w:firstLine="420" w:firstLineChars="150"/>
        <w:rPr>
          <w:rFonts w:ascii="仿宋" w:hAnsi="仿宋" w:eastAsia="仿宋"/>
          <w:bCs/>
          <w:sz w:val="28"/>
          <w:szCs w:val="28"/>
        </w:rPr>
      </w:pPr>
      <w:r>
        <w:rPr>
          <w:rFonts w:hint="eastAsia" w:ascii="仿宋" w:hAnsi="仿宋" w:eastAsia="仿宋"/>
          <w:bCs/>
          <w:sz w:val="28"/>
          <w:szCs w:val="28"/>
        </w:rPr>
        <w:t>（2）资金使用合规性</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项目实际支出与项目计划投入资金的用途相符，基本符合项目预算批复或合同规定的用途。未发现超标列支相关费用的现象。</w:t>
      </w:r>
    </w:p>
    <w:p>
      <w:pPr>
        <w:spacing w:line="520" w:lineRule="exact"/>
        <w:ind w:firstLine="420" w:firstLineChars="150"/>
        <w:rPr>
          <w:rFonts w:ascii="仿宋" w:hAnsi="仿宋" w:eastAsia="仿宋"/>
          <w:bCs/>
          <w:sz w:val="28"/>
          <w:szCs w:val="28"/>
        </w:rPr>
      </w:pPr>
      <w:r>
        <w:rPr>
          <w:rFonts w:hint="eastAsia" w:ascii="仿宋" w:hAnsi="仿宋" w:eastAsia="仿宋"/>
          <w:bCs/>
          <w:sz w:val="28"/>
          <w:szCs w:val="28"/>
        </w:rPr>
        <w:t>（3）资金单独核算</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项目资金的会计核算严格执行了财政部颁发的《基本建设财务管理若干规定》，单独核算，按要求设置会计科目，建立账目</w:t>
      </w:r>
    </w:p>
    <w:p>
      <w:pPr>
        <w:spacing w:line="520" w:lineRule="exact"/>
        <w:ind w:firstLine="280" w:firstLineChars="100"/>
        <w:rPr>
          <w:rFonts w:ascii="仿宋" w:hAnsi="仿宋" w:eastAsia="仿宋"/>
          <w:bCs/>
          <w:sz w:val="28"/>
          <w:szCs w:val="28"/>
        </w:rPr>
      </w:pPr>
      <w:r>
        <w:rPr>
          <w:rFonts w:hint="eastAsia" w:ascii="仿宋" w:hAnsi="仿宋" w:eastAsia="仿宋"/>
          <w:bCs/>
          <w:sz w:val="28"/>
          <w:szCs w:val="28"/>
        </w:rPr>
        <w:t>（4）财务信息质量</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预算执行和财务管理比较规范，会计资料真实。资金通过财政直接直付、授权支付或其它方式进行结算。资金拨付使用严格按照程序执行，用款申请单经用款部门和经办人提出申请，并注明用款理由和相关支出附件，经业务负责人、财务负责人、分管领导签字后通过财政直接支付或授权支付，以保证财政资金使用的安全。</w:t>
      </w:r>
    </w:p>
    <w:p>
      <w:pPr>
        <w:spacing w:line="520" w:lineRule="exact"/>
        <w:ind w:firstLine="280" w:firstLineChars="100"/>
        <w:rPr>
          <w:rFonts w:ascii="仿宋" w:hAnsi="仿宋" w:eastAsia="仿宋"/>
          <w:bCs/>
          <w:sz w:val="28"/>
          <w:szCs w:val="28"/>
        </w:rPr>
      </w:pPr>
      <w:r>
        <w:rPr>
          <w:rFonts w:hint="eastAsia" w:ascii="仿宋" w:hAnsi="仿宋" w:eastAsia="仿宋"/>
          <w:bCs/>
          <w:sz w:val="28"/>
          <w:szCs w:val="28"/>
          <w:lang w:val="en-US" w:eastAsia="zh-CN"/>
        </w:rPr>
        <w:t xml:space="preserve"> </w:t>
      </w:r>
      <w:r>
        <w:rPr>
          <w:rFonts w:hint="eastAsia" w:ascii="仿宋" w:hAnsi="仿宋" w:eastAsia="仿宋"/>
          <w:bCs/>
          <w:sz w:val="28"/>
          <w:szCs w:val="28"/>
        </w:rPr>
        <w:t>（5）项目组织实施</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重视建设项目管理，防范建设项目管控风险，确保建设项目管理质量、进度和资金安全，制定项目建设管理制度。各处室各司其责，局长办公会对机关建设项目方案和投资概预算、招标方案、工程决算等进行集体研究，通过对建设项目的管理，确保建设项目安全有序保质保量按时完成；建设处是建设项目管理机构，办公室资产管理部门主要负责组织编制和评审建设项目方案、可行性研究报告和投资概预算；负责办理工程规划许可证、工程施工许可证和相关的产权证明；组织建设项目的招标、施工、工程监理、竣工验收、竣工决算和资产移交等工作；计财处配合资产管理部门开展工作，负责审核工程进度款项申请，并办理工程款项支付、会计核算。</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（6）基本建设程序管理</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按照项目基本建设规范程序的管理要求，首先：项目立项管理方面，资产管理部门组织规划、工程、技术、财会、法律等方面的专家对项目建设方案和可行性研究报告进行充分论证和评审，出具评审意见，作为项目决策的重要依据。其次，招标管理方面，所有建设项目严格执行政府采购相关规定，达到公开招标标准的建设项目采用公开招标的方式，择优选择具有相应资质的承包单位和工程监理单位。第三，工程造价和设计管理方面，概预算做到科学合理，委托具备相应资质的中介机构开展工程造价咨询工作。第四，项目建设方面，加强对工程建设过程的监控，实行严格的概预算管理，切实做到及时备料，科学施工，保障资金，落实责任，确保工程项目达到设计要求。最后，项目验收管理方面，资产管理部门收到承包单位的工程竣工报告后，及时编制竣工决算，开展竣工决算审计，组织设计、施工、监理等有关单位进行竣工验收。</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（7）项目工程质量管理</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lang w:val="en-US" w:eastAsia="zh-CN"/>
        </w:rPr>
        <w:t xml:space="preserve"> </w:t>
      </w:r>
      <w:r>
        <w:rPr>
          <w:rFonts w:hint="eastAsia" w:ascii="仿宋" w:hAnsi="仿宋" w:eastAsia="仿宋"/>
          <w:bCs/>
          <w:sz w:val="28"/>
          <w:szCs w:val="28"/>
        </w:rPr>
        <w:t>严把工程质量关。首先，自行采购工程物资的，组织工程物资采购、验收和付款；由承包单位采购工程物资的，资产管理部门现场监督，确保工程物资采购符合设计标准和合同要求，严禁不合格工程物资投入工程项目建设。其次，严格执行工程监理制度，工程监理人员发现工程施工不符合设计要求、施工技术标准和合同约定的，要求承包单位改正，并报告资产管理部门督促设计单位改正。未经工程监理人员签字，工程物资不得在工程上使用或者安装，不得进行下一道工序施工，不得拨付工程价款，不得进行竣工验收。</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（8）项目档案管理</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有完善的工程项目档案管理制度，严格执行档案管理要求，注重对原始资料在实施过程的收集和整理，分门别类组卷，档案资料做到真实、齐全、有效。</w:t>
      </w:r>
    </w:p>
    <w:p>
      <w:pPr>
        <w:spacing w:line="520" w:lineRule="exact"/>
        <w:ind w:firstLine="560" w:firstLineChars="200"/>
        <w:outlineLvl w:val="2"/>
        <w:rPr>
          <w:rFonts w:ascii="仿宋" w:hAnsi="仿宋" w:eastAsia="仿宋"/>
          <w:bCs/>
          <w:sz w:val="28"/>
          <w:szCs w:val="28"/>
        </w:rPr>
      </w:pPr>
      <w:bookmarkStart w:id="30" w:name="_Toc517708020"/>
      <w:r>
        <w:rPr>
          <w:rFonts w:hint="eastAsia" w:ascii="仿宋" w:hAnsi="仿宋" w:eastAsia="仿宋"/>
          <w:bCs/>
          <w:sz w:val="28"/>
          <w:szCs w:val="28"/>
        </w:rPr>
        <w:t>3.项目产出</w:t>
      </w:r>
      <w:bookmarkEnd w:id="30"/>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项目产出良好，项目在预定时间内及时实施完成，质量达标率达到预期。本项指标总分为33分，实际得分达到33分，得分率100%,项目产出具体评价如下：</w:t>
      </w:r>
    </w:p>
    <w:p>
      <w:pPr>
        <w:spacing w:line="520" w:lineRule="exact"/>
        <w:ind w:firstLine="280" w:firstLineChars="100"/>
        <w:rPr>
          <w:rFonts w:ascii="仿宋" w:hAnsi="仿宋" w:eastAsia="仿宋"/>
          <w:bCs/>
          <w:sz w:val="28"/>
          <w:szCs w:val="28"/>
        </w:rPr>
      </w:pPr>
      <w:r>
        <w:rPr>
          <w:rFonts w:hint="eastAsia" w:ascii="仿宋" w:hAnsi="仿宋" w:eastAsia="仿宋"/>
          <w:bCs/>
          <w:sz w:val="28"/>
          <w:szCs w:val="28"/>
        </w:rPr>
        <w:t>（1）水利前期工作完成率</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2017年度，规划计划处、供水处等业务处室按年初安排完成水生态文明建设、城市供水专项、中法武汉生态新城水系专项等规划及水质和供水应急水质监测等4项工作。水利前期工作完成率100%。</w:t>
      </w:r>
    </w:p>
    <w:p>
      <w:pPr>
        <w:spacing w:line="520" w:lineRule="exact"/>
        <w:ind w:firstLine="280" w:firstLineChars="100"/>
        <w:rPr>
          <w:rFonts w:ascii="仿宋" w:hAnsi="仿宋" w:eastAsia="仿宋"/>
          <w:bCs/>
          <w:sz w:val="28"/>
          <w:szCs w:val="28"/>
        </w:rPr>
      </w:pPr>
      <w:r>
        <w:rPr>
          <w:rFonts w:hint="eastAsia" w:ascii="仿宋" w:hAnsi="仿宋" w:eastAsia="仿宋"/>
          <w:bCs/>
          <w:sz w:val="28"/>
          <w:szCs w:val="28"/>
        </w:rPr>
        <w:t>（2）水利工程建设完成率</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A、武青堤江滩防洪及环境整治项目所处地理位置属武昌防洪保护圈，现状为土堤，汛期行洪存在安全隐患，堤防断面形式单调，生态环境不佳，对此段江滩进行综合整治，对于推进武汉市“两江四岸”建设，完善城市防洪体系，增强城市防洪能力，改善城市水环境和交通环境十分必要。</w:t>
      </w:r>
      <w:r>
        <w:rPr>
          <w:rFonts w:ascii="仿宋" w:hAnsi="仿宋" w:eastAsia="仿宋"/>
          <w:bCs/>
          <w:sz w:val="28"/>
          <w:szCs w:val="28"/>
        </w:rPr>
        <w:t>截止</w:t>
      </w:r>
      <w:r>
        <w:rPr>
          <w:rFonts w:hint="eastAsia" w:ascii="仿宋" w:hAnsi="仿宋" w:eastAsia="仿宋"/>
          <w:bCs/>
          <w:sz w:val="28"/>
          <w:szCs w:val="28"/>
        </w:rPr>
        <w:t>2017年底</w:t>
      </w:r>
      <w:r>
        <w:rPr>
          <w:rFonts w:ascii="仿宋" w:hAnsi="仿宋" w:eastAsia="仿宋"/>
          <w:bCs/>
          <w:sz w:val="28"/>
          <w:szCs w:val="28"/>
        </w:rPr>
        <w:t>完成脚带1555米，现浇砼护坡1555米，预制块护坡1200米，堤身及滩地缓坡填筑土方39万立方米，新建余家头闸口1座(含装配式防洪墙40平方米)，堤身防渗墙1250米</w:t>
      </w:r>
      <w:r>
        <w:rPr>
          <w:rFonts w:hint="eastAsia" w:ascii="仿宋" w:hAnsi="仿宋" w:eastAsia="仿宋"/>
          <w:bCs/>
          <w:sz w:val="28"/>
          <w:szCs w:val="28"/>
        </w:rPr>
        <w:t>。</w:t>
      </w:r>
    </w:p>
    <w:p>
      <w:pPr>
        <w:spacing w:line="520" w:lineRule="exact"/>
        <w:ind w:firstLine="560" w:firstLineChars="200"/>
        <w:rPr>
          <w:rFonts w:ascii="仿宋" w:hAnsi="仿宋" w:eastAsia="仿宋"/>
          <w:sz w:val="30"/>
          <w:szCs w:val="30"/>
        </w:rPr>
      </w:pPr>
      <w:r>
        <w:rPr>
          <w:rFonts w:hint="eastAsia" w:ascii="仿宋" w:hAnsi="仿宋" w:eastAsia="仿宋"/>
          <w:bCs/>
          <w:sz w:val="28"/>
          <w:szCs w:val="28"/>
        </w:rPr>
        <w:t>B、青山港及二号明渠综合整治工程是武汉市大东湖生态水网构建工程的重要组成部分，它的的建成将打通大东湖生态水网从长江的引水通道，激活大东湖生态水网，项目实施有利于改善大东湖地区水质及生态环境，提高区域排涝能力。</w:t>
      </w:r>
      <w:r>
        <w:rPr>
          <w:rFonts w:hint="eastAsia" w:ascii="仿宋" w:hAnsi="仿宋" w:eastAsia="仿宋"/>
          <w:sz w:val="30"/>
          <w:szCs w:val="30"/>
        </w:rPr>
        <w:t>二号明渠子项于2017年2月建成通水；青山港子项于2017年11月中旬完成渠道疏浚及驳岸桩基工程，并完成了单位工程验收。</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C、汉江硚口江滩四期防洪及环境综合整治工程建设符合我市“两江四岸”防洪及环境综合整治规划，有助于提高区域防洪能力，改善滨江滨水环境，进一步提升地区城市品位，促进区域经济社会发展。截止2017年底该项目完成监理、施工招标。</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D、汉口江滩长江二桥至武汉关功能与景观提升工程，围绕绿色发展、建设美丽江城的总体要求，充分发挥旅游业在推动城市经济社会转型升级方面的重要作用，努力将两江四岸区域建设成为具有国际影响力的城市名片。截止2017年底该项目一标段已完工，二标段进入到安装栈桥栏杆阶段。</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以上主要水利工程建设项目均按年初项目申报预计建设内容完工，水利工程建设完成率100%。</w:t>
      </w:r>
    </w:p>
    <w:p>
      <w:pPr>
        <w:spacing w:line="520" w:lineRule="exact"/>
        <w:ind w:firstLine="280" w:firstLineChars="100"/>
        <w:rPr>
          <w:rFonts w:ascii="仿宋" w:hAnsi="仿宋" w:eastAsia="仿宋"/>
          <w:bCs/>
          <w:sz w:val="28"/>
          <w:szCs w:val="28"/>
        </w:rPr>
      </w:pPr>
      <w:r>
        <w:rPr>
          <w:rFonts w:hint="eastAsia" w:ascii="仿宋" w:hAnsi="仿宋" w:eastAsia="仿宋"/>
          <w:bCs/>
          <w:sz w:val="28"/>
          <w:szCs w:val="28"/>
        </w:rPr>
        <w:t>（3）水利工程运维完成率</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A、东沙湖连通渠工程是大东湖生态水网构建项目的启动工程，西起外沙湖，东至水果湖，北邻楚汉路，南邻汉街商业区，总用地面积约10.3万平方米。</w:t>
      </w:r>
      <w:r>
        <w:rPr>
          <w:rFonts w:ascii="仿宋" w:hAnsi="仿宋" w:eastAsia="仿宋"/>
          <w:bCs/>
          <w:sz w:val="28"/>
          <w:szCs w:val="28"/>
        </w:rPr>
        <w:t>截止</w:t>
      </w:r>
      <w:r>
        <w:rPr>
          <w:rFonts w:hint="eastAsia" w:ascii="仿宋" w:hAnsi="仿宋" w:eastAsia="仿宋"/>
          <w:bCs/>
          <w:sz w:val="28"/>
          <w:szCs w:val="28"/>
        </w:rPr>
        <w:t>2017年底该工程已全部完工。主要设备有：茶港闸、水果湖闸、倒虹井、调蓄池及3公里长的箱涵；共14扇闸门、7台大功率水泵、6台格栅机、12个控制柜。</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B、黄孝河明渠及上游箱涵近年来随着城市建设的不断发展，渠道箱涵内建筑垃圾量不断增大，导致渠道淤积情况日益严重。截止2017年12月31日，实际清淤量126320.53立方米，完成项目总任务的10</w:t>
      </w:r>
      <w:r>
        <w:rPr>
          <w:rFonts w:ascii="仿宋" w:hAnsi="仿宋" w:eastAsia="仿宋"/>
          <w:bCs/>
          <w:sz w:val="28"/>
          <w:szCs w:val="28"/>
        </w:rPr>
        <w:t>0</w:t>
      </w:r>
      <w:r>
        <w:rPr>
          <w:rFonts w:hint="eastAsia" w:ascii="仿宋" w:hAnsi="仿宋" w:eastAsia="仿宋"/>
          <w:bCs/>
          <w:sz w:val="28"/>
          <w:szCs w:val="28"/>
        </w:rPr>
        <w:t>%。</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C、</w:t>
      </w:r>
      <w:r>
        <w:rPr>
          <w:rFonts w:ascii="仿宋" w:hAnsi="仿宋" w:eastAsia="仿宋"/>
          <w:bCs/>
          <w:sz w:val="28"/>
          <w:szCs w:val="28"/>
        </w:rPr>
        <w:t>罗家港</w:t>
      </w:r>
      <w:r>
        <w:rPr>
          <w:rFonts w:hint="eastAsia" w:ascii="仿宋" w:hAnsi="仿宋" w:eastAsia="仿宋"/>
          <w:bCs/>
          <w:sz w:val="28"/>
          <w:szCs w:val="28"/>
        </w:rPr>
        <w:t>明渠</w:t>
      </w:r>
      <w:r>
        <w:rPr>
          <w:rFonts w:ascii="仿宋" w:hAnsi="仿宋" w:eastAsia="仿宋"/>
          <w:bCs/>
          <w:sz w:val="28"/>
          <w:szCs w:val="28"/>
        </w:rPr>
        <w:t>为纵贯武昌地区的排水干渠，</w:t>
      </w:r>
      <w:r>
        <w:rPr>
          <w:rFonts w:hint="eastAsia" w:ascii="仿宋" w:hAnsi="仿宋" w:eastAsia="仿宋"/>
          <w:bCs/>
          <w:sz w:val="28"/>
          <w:szCs w:val="28"/>
        </w:rPr>
        <w:t>近年来</w:t>
      </w:r>
      <w:r>
        <w:rPr>
          <w:rFonts w:ascii="仿宋" w:hAnsi="仿宋" w:eastAsia="仿宋"/>
          <w:bCs/>
          <w:sz w:val="28"/>
          <w:szCs w:val="28"/>
        </w:rPr>
        <w:t>罗家港淤积严重，卡死出江通道，导致东沙湖水系整体渍水</w:t>
      </w:r>
      <w:r>
        <w:rPr>
          <w:rFonts w:hint="eastAsia" w:ascii="仿宋" w:hAnsi="仿宋" w:eastAsia="仿宋"/>
          <w:bCs/>
          <w:sz w:val="28"/>
          <w:szCs w:val="28"/>
        </w:rPr>
        <w:t>。</w:t>
      </w:r>
      <w:r>
        <w:rPr>
          <w:rFonts w:ascii="仿宋" w:hAnsi="仿宋" w:eastAsia="仿宋"/>
          <w:bCs/>
          <w:sz w:val="28"/>
          <w:szCs w:val="28"/>
        </w:rPr>
        <w:t>为恢复渠道过流</w:t>
      </w:r>
      <w:r>
        <w:rPr>
          <w:rFonts w:hint="eastAsia" w:ascii="仿宋" w:hAnsi="仿宋" w:eastAsia="仿宋"/>
          <w:bCs/>
          <w:sz w:val="28"/>
          <w:szCs w:val="28"/>
        </w:rPr>
        <w:t>能力</w:t>
      </w:r>
      <w:r>
        <w:rPr>
          <w:rFonts w:ascii="仿宋" w:hAnsi="仿宋" w:eastAsia="仿宋"/>
          <w:bCs/>
          <w:sz w:val="28"/>
          <w:szCs w:val="28"/>
        </w:rPr>
        <w:t>，保证明渠排涝</w:t>
      </w:r>
      <w:r>
        <w:rPr>
          <w:rFonts w:hint="eastAsia" w:ascii="仿宋" w:hAnsi="仿宋" w:eastAsia="仿宋"/>
          <w:bCs/>
          <w:sz w:val="28"/>
          <w:szCs w:val="28"/>
        </w:rPr>
        <w:t>通畅</w:t>
      </w:r>
      <w:r>
        <w:rPr>
          <w:rFonts w:ascii="仿宋" w:hAnsi="仿宋" w:eastAsia="仿宋"/>
          <w:bCs/>
          <w:sz w:val="28"/>
          <w:szCs w:val="28"/>
        </w:rPr>
        <w:t>，提升明渠水质，对罗家港明渠</w:t>
      </w:r>
      <w:r>
        <w:rPr>
          <w:rFonts w:hint="eastAsia" w:ascii="仿宋" w:hAnsi="仿宋" w:eastAsia="仿宋"/>
          <w:bCs/>
          <w:sz w:val="28"/>
          <w:szCs w:val="28"/>
        </w:rPr>
        <w:t>实施</w:t>
      </w:r>
      <w:r>
        <w:rPr>
          <w:rFonts w:ascii="仿宋" w:hAnsi="仿宋" w:eastAsia="仿宋"/>
          <w:bCs/>
          <w:sz w:val="28"/>
          <w:szCs w:val="28"/>
        </w:rPr>
        <w:t>清淤工程。</w:t>
      </w:r>
      <w:r>
        <w:rPr>
          <w:rFonts w:hint="eastAsia" w:ascii="仿宋" w:hAnsi="仿宋" w:eastAsia="仿宋"/>
          <w:bCs/>
          <w:sz w:val="28"/>
          <w:szCs w:val="28"/>
        </w:rPr>
        <w:t>截止2017年12月31日，实际清淤量约18700立方米，完成项目总任务的</w:t>
      </w:r>
      <w:r>
        <w:rPr>
          <w:rFonts w:hint="eastAsia" w:ascii="仿宋" w:hAnsi="仿宋" w:eastAsia="仿宋"/>
          <w:bCs/>
          <w:sz w:val="28"/>
          <w:szCs w:val="28"/>
          <w:lang w:val="en-US" w:eastAsia="zh-CN"/>
        </w:rPr>
        <w:t>100</w:t>
      </w:r>
      <w:r>
        <w:rPr>
          <w:rFonts w:hint="eastAsia" w:ascii="仿宋" w:hAnsi="仿宋" w:eastAsia="仿宋"/>
          <w:bCs/>
          <w:sz w:val="28"/>
          <w:szCs w:val="28"/>
        </w:rPr>
        <w:t>%。</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以上主要水利运维工程建设项目均按年初项目申报预计建设内容完工，水利工程运维完成率100%。</w:t>
      </w:r>
    </w:p>
    <w:p>
      <w:pPr>
        <w:spacing w:line="520" w:lineRule="exact"/>
        <w:ind w:firstLine="280" w:firstLineChars="100"/>
        <w:rPr>
          <w:rFonts w:ascii="仿宋" w:hAnsi="仿宋" w:eastAsia="仿宋"/>
          <w:bCs/>
          <w:sz w:val="28"/>
          <w:szCs w:val="28"/>
        </w:rPr>
      </w:pPr>
      <w:r>
        <w:rPr>
          <w:rFonts w:hint="eastAsia" w:ascii="仿宋" w:hAnsi="仿宋" w:eastAsia="仿宋"/>
          <w:bCs/>
          <w:sz w:val="28"/>
          <w:szCs w:val="28"/>
        </w:rPr>
        <w:t>（4）排渍应急设备采购完成率</w:t>
      </w:r>
    </w:p>
    <w:p>
      <w:pPr>
        <w:spacing w:line="520" w:lineRule="exact"/>
        <w:ind w:firstLine="280" w:firstLineChars="100"/>
        <w:rPr>
          <w:rFonts w:ascii="仿宋" w:hAnsi="仿宋" w:eastAsia="仿宋"/>
          <w:bCs/>
          <w:sz w:val="28"/>
          <w:szCs w:val="28"/>
        </w:rPr>
      </w:pPr>
      <w:r>
        <w:rPr>
          <w:rFonts w:hint="eastAsia" w:ascii="仿宋" w:hAnsi="仿宋" w:eastAsia="仿宋"/>
          <w:bCs/>
          <w:sz w:val="28"/>
          <w:szCs w:val="28"/>
        </w:rPr>
        <w:t>“全市新增设施量管理维护等支出”项目，委托湖北省招标股份有限公司对该项目采用公开招标方式进行采购，按规定程序进行开标、评标、经评标委员会评审确定中标人。共采购排渍应急泵车16台。排渍应急设备采购完成率100%。</w:t>
      </w:r>
    </w:p>
    <w:p>
      <w:pPr>
        <w:spacing w:line="520" w:lineRule="exact"/>
        <w:ind w:firstLine="280" w:firstLineChars="100"/>
        <w:rPr>
          <w:rFonts w:ascii="仿宋" w:hAnsi="仿宋" w:eastAsia="仿宋"/>
          <w:bCs/>
          <w:sz w:val="28"/>
          <w:szCs w:val="28"/>
        </w:rPr>
      </w:pPr>
      <w:r>
        <w:rPr>
          <w:rFonts w:hint="eastAsia" w:ascii="仿宋" w:hAnsi="仿宋" w:eastAsia="仿宋"/>
          <w:bCs/>
          <w:sz w:val="28"/>
          <w:szCs w:val="28"/>
        </w:rPr>
        <w:t>（5）排水设施灾后重建完成率</w:t>
      </w:r>
    </w:p>
    <w:p>
      <w:pPr>
        <w:spacing w:line="520" w:lineRule="exact"/>
        <w:ind w:firstLine="420" w:firstLineChars="150"/>
        <w:rPr>
          <w:rFonts w:ascii="仿宋" w:hAnsi="仿宋" w:eastAsia="仿宋"/>
          <w:bCs/>
          <w:sz w:val="28"/>
          <w:szCs w:val="28"/>
        </w:rPr>
      </w:pPr>
      <w:r>
        <w:rPr>
          <w:rFonts w:hint="eastAsia" w:ascii="仿宋" w:hAnsi="仿宋" w:eastAsia="仿宋"/>
          <w:bCs/>
          <w:sz w:val="28"/>
          <w:szCs w:val="28"/>
        </w:rPr>
        <w:t>2017年追加预算中“排水设施灾后重建”项目四个实施单位分为武汉市水务防汛信息中心、武汉市排水泵站管理处、汤逊湖泵站管理处、大军山泵站管理处。</w:t>
      </w:r>
    </w:p>
    <w:p>
      <w:pPr>
        <w:spacing w:line="520" w:lineRule="exact"/>
        <w:ind w:firstLine="560" w:firstLineChars="200"/>
        <w:rPr>
          <w:rFonts w:ascii="仿宋" w:hAnsi="仿宋" w:eastAsia="仿宋"/>
          <w:bCs/>
          <w:sz w:val="28"/>
          <w:szCs w:val="28"/>
        </w:rPr>
      </w:pPr>
      <w:bookmarkStart w:id="31" w:name="_Toc517708021"/>
      <w:r>
        <w:rPr>
          <w:rFonts w:hint="eastAsia" w:ascii="仿宋" w:hAnsi="仿宋" w:eastAsia="仿宋"/>
          <w:bCs/>
          <w:sz w:val="28"/>
          <w:szCs w:val="28"/>
        </w:rPr>
        <w:t>A、武汉市水务防汛信息中心的建设内容主要为：①“武汉市排涝泵站智慧管理系统”建设；②排水防涝监测站网规划、排涝水系调度预案；③中心城区污水设施维护管理考核体系建设和水质及流量信息采集等。截止2017年底，“武汉市排涝泵站智慧管理系统”建设项目按照招标程序确定初步设计的编制单位；《武汉市排水防涝监测站网规划》已编制完成，正组织专家审查；中心城区污水设施维护管理考核体系已通过专家验收，中心城区污水考核体系建设项目-水质及流量信息采集已签订合同。</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B、武汉市排水泵站管理处的主要建设内容为黄孝河机场河水环境综合治理一期项目。黄孝河和机场河是汉口地区两条主要的城市水系，该水系水质黑臭，对周边市民的生产生活造成严重影响。截止2017年底，铁路桥、机场河东西渠三座钢坝闸主体工程已完工；东银湖生态补水泵站主体工程已完工；机场河明渠清淤已完工，箱涵部分因水位太高，只完成了航空路至范湖段的箱涵清淤；</w:t>
      </w:r>
      <w:r>
        <w:rPr>
          <w:rFonts w:ascii="仿宋" w:hAnsi="仿宋" w:eastAsia="仿宋"/>
          <w:bCs/>
          <w:sz w:val="28"/>
          <w:szCs w:val="28"/>
        </w:rPr>
        <w:t>铁路桥箱涵出口</w:t>
      </w:r>
      <w:r>
        <w:rPr>
          <w:rFonts w:hint="eastAsia" w:ascii="仿宋" w:hAnsi="仿宋" w:eastAsia="仿宋"/>
          <w:bCs/>
          <w:sz w:val="28"/>
          <w:szCs w:val="28"/>
        </w:rPr>
        <w:t>旱季溢流污水临时处理工程已完工。</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C、汤逊湖泵站管理处的主要建设内容是对泵站实施全面更新改造，包括：改造3台主水泵、更新2台主电机；更新主变、站用变压器各1台；励磁柜、高压柜、低压柜等电气设备更新，完善风机、供水等辅助设备；更新改造自动化监控系统等，有针对性地解决泵站存在的问题。截止2017年底，各设备标段已全面进入进入设备安装阶段，总体进度完成80%以上。在管理处与监理方协同督导下，各标段向既定进度目标稳步推进，春节前可如期完成安装计划。</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D、大军山泵站管理处的主要建设内容为拆除重建泵站出水流道、真空破坏阀室、出水池及海漫；流道出口采用拍门断流，新建防洪闸；新建冷却水池，新增监测设施；更新泵站高低压电气设备和辅机设备；升级完善泵站信息化系统；恢复堤顶道路等。截止2017年底，高低压配电设备采购及安装工程、水利机械辅助设备采购及安装工程、信息化工程，已全部完成并投入使用；土建工程，主体工程已全部完成，并投入使用，目前正在对工程进行收尾。</w:t>
      </w:r>
    </w:p>
    <w:p>
      <w:pPr>
        <w:ind w:firstLine="560" w:firstLineChars="200"/>
        <w:rPr>
          <w:rFonts w:ascii="仿宋" w:hAnsi="仿宋" w:eastAsia="仿宋"/>
          <w:bCs/>
          <w:sz w:val="28"/>
          <w:szCs w:val="28"/>
        </w:rPr>
      </w:pPr>
      <w:r>
        <w:rPr>
          <w:rFonts w:hint="eastAsia" w:ascii="仿宋" w:hAnsi="仿宋" w:eastAsia="仿宋"/>
          <w:bCs/>
          <w:sz w:val="28"/>
          <w:szCs w:val="28"/>
        </w:rPr>
        <w:t>以上4个实施单位的灾后重建项目按照项目实施计划如期进行。排水设施灾后重建完成率100%。</w:t>
      </w:r>
    </w:p>
    <w:p>
      <w:pPr>
        <w:spacing w:line="520" w:lineRule="exact"/>
        <w:ind w:firstLine="280" w:firstLineChars="100"/>
        <w:rPr>
          <w:rFonts w:eastAsia="宋体"/>
          <w:color w:val="FF0000"/>
          <w:sz w:val="30"/>
          <w:szCs w:val="30"/>
        </w:rPr>
      </w:pPr>
      <w:r>
        <w:rPr>
          <w:rFonts w:hint="eastAsia" w:ascii="仿宋" w:hAnsi="仿宋" w:eastAsia="仿宋"/>
          <w:bCs/>
          <w:sz w:val="28"/>
          <w:szCs w:val="28"/>
        </w:rPr>
        <w:t>（6）前期工作措施专业程度</w:t>
      </w:r>
    </w:p>
    <w:p>
      <w:pPr>
        <w:spacing w:line="520" w:lineRule="exact"/>
        <w:ind w:firstLine="420" w:firstLineChars="150"/>
        <w:rPr>
          <w:rFonts w:eastAsia="宋体"/>
          <w:color w:val="FF0000"/>
          <w:sz w:val="30"/>
          <w:szCs w:val="30"/>
        </w:rPr>
      </w:pPr>
      <w:r>
        <w:rPr>
          <w:rFonts w:hint="eastAsia" w:ascii="仿宋" w:hAnsi="仿宋" w:eastAsia="仿宋"/>
          <w:bCs/>
          <w:sz w:val="28"/>
          <w:szCs w:val="28"/>
        </w:rPr>
        <w:t>水生态文明建设、城市供水专项、中法武汉生态新城水系专项等规划方案均由武汉市水务科学研究院（武汉市水土保持监测站）等专业领域机构编制，针对武汉生态水系特点，从水安全、水资源、水环境和水生态四个方面提出规划项目与建设计划。委托国家城市供水水质监测网武汉监测站，对武汉市新城区各供水厂的出厂水、管网水进行水质监测工作，并对各供水厂化验室基本情况进行调查，提供专项水质监测和水质状况及化验室建设情况分析报告。水利建设前期工作措施专业程度高。</w:t>
      </w:r>
    </w:p>
    <w:p>
      <w:pPr>
        <w:spacing w:line="520" w:lineRule="exact"/>
        <w:ind w:firstLine="280" w:firstLineChars="100"/>
        <w:rPr>
          <w:rFonts w:ascii="仿宋" w:hAnsi="仿宋" w:eastAsia="仿宋"/>
          <w:bCs/>
          <w:sz w:val="28"/>
          <w:szCs w:val="28"/>
        </w:rPr>
      </w:pPr>
      <w:r>
        <w:rPr>
          <w:rFonts w:hint="eastAsia" w:ascii="仿宋" w:hAnsi="仿宋" w:eastAsia="仿宋"/>
          <w:bCs/>
          <w:sz w:val="28"/>
          <w:szCs w:val="28"/>
        </w:rPr>
        <w:t>（7）建维及灾后重建质量达标程度</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水利工程运维等项目的工程质量监督工作由武汉市水务工程质量安全监督站负责，该监督站对抽查的主要工程进行了项目划分审批，施工期间积极对工程质量进行了巡视和检查，参加分部工程验收，进行外观质量评定等。质量监督部门不间断巡查监督，发现质量问题及时向建设单位或监理提出，对情况严重的勒令施工单位进行整改，工作细致、深入，最大程度上保证了工程质量。</w:t>
      </w:r>
    </w:p>
    <w:p>
      <w:pPr>
        <w:spacing w:line="520" w:lineRule="exact"/>
        <w:ind w:firstLine="280" w:firstLineChars="100"/>
        <w:outlineLvl w:val="2"/>
        <w:rPr>
          <w:rFonts w:ascii="仿宋" w:hAnsi="仿宋" w:eastAsia="仿宋"/>
          <w:bCs/>
          <w:sz w:val="28"/>
          <w:szCs w:val="28"/>
        </w:rPr>
      </w:pPr>
      <w:r>
        <w:rPr>
          <w:rFonts w:hint="eastAsia" w:ascii="仿宋" w:hAnsi="仿宋" w:eastAsia="仿宋"/>
          <w:bCs/>
          <w:sz w:val="28"/>
          <w:szCs w:val="28"/>
        </w:rPr>
        <w:t>（8）购置设备售后保障度</w:t>
      </w:r>
    </w:p>
    <w:p>
      <w:pPr>
        <w:spacing w:line="520" w:lineRule="exact"/>
        <w:ind w:firstLine="560" w:firstLineChars="200"/>
        <w:outlineLvl w:val="2"/>
        <w:rPr>
          <w:rFonts w:ascii="仿宋" w:hAnsi="仿宋" w:eastAsia="仿宋"/>
          <w:bCs/>
          <w:sz w:val="28"/>
          <w:szCs w:val="28"/>
        </w:rPr>
      </w:pPr>
      <w:r>
        <w:rPr>
          <w:rFonts w:hint="eastAsia" w:ascii="仿宋" w:hAnsi="仿宋" w:eastAsia="仿宋"/>
          <w:bCs/>
          <w:sz w:val="28"/>
          <w:szCs w:val="28"/>
        </w:rPr>
        <w:t>2017年度，采购排渍应急泵车16台，该设备符合国家、行业标准及武汉市尾气排放标准。供应商为需方提供技术、操作及维护保养等专业技术培训。整车质保期为12个月，在质量保证期内，因质量问题造成系统故障，供应商在接到需方通知后24小时内响应，修复并交付使用；质保期后，维修时只收取成本费。为设备售后提供后续质量保障。</w:t>
      </w:r>
    </w:p>
    <w:p>
      <w:pPr>
        <w:spacing w:line="520" w:lineRule="exact"/>
        <w:ind w:firstLine="280" w:firstLineChars="100"/>
        <w:outlineLvl w:val="2"/>
        <w:rPr>
          <w:rFonts w:ascii="仿宋" w:hAnsi="仿宋" w:eastAsia="仿宋"/>
          <w:bCs/>
          <w:sz w:val="28"/>
          <w:szCs w:val="28"/>
        </w:rPr>
      </w:pPr>
      <w:r>
        <w:rPr>
          <w:rFonts w:hint="eastAsia" w:ascii="仿宋" w:hAnsi="仿宋" w:eastAsia="仿宋"/>
          <w:bCs/>
          <w:sz w:val="28"/>
          <w:szCs w:val="28"/>
        </w:rPr>
        <w:t>（9）施工进度是否及时</w:t>
      </w:r>
    </w:p>
    <w:p>
      <w:pPr>
        <w:spacing w:line="520" w:lineRule="exact"/>
        <w:ind w:firstLine="560" w:firstLineChars="200"/>
        <w:outlineLvl w:val="2"/>
        <w:rPr>
          <w:rFonts w:ascii="仿宋" w:hAnsi="仿宋" w:eastAsia="仿宋"/>
          <w:bCs/>
          <w:sz w:val="28"/>
          <w:szCs w:val="28"/>
        </w:rPr>
      </w:pPr>
      <w:r>
        <w:rPr>
          <w:rFonts w:hint="eastAsia" w:ascii="仿宋" w:hAnsi="仿宋" w:eastAsia="仿宋"/>
          <w:bCs/>
          <w:sz w:val="28"/>
          <w:szCs w:val="28"/>
        </w:rPr>
        <w:t>水利</w:t>
      </w:r>
      <w:r>
        <w:rPr>
          <w:rFonts w:hint="eastAsia" w:ascii="仿宋" w:hAnsi="仿宋" w:eastAsia="仿宋"/>
          <w:bCs/>
          <w:sz w:val="28"/>
          <w:szCs w:val="28"/>
          <w:lang w:eastAsia="zh-CN"/>
        </w:rPr>
        <w:t>建设维护</w:t>
      </w:r>
      <w:r>
        <w:rPr>
          <w:rFonts w:hint="eastAsia" w:ascii="仿宋" w:hAnsi="仿宋" w:eastAsia="仿宋"/>
          <w:bCs/>
          <w:sz w:val="28"/>
          <w:szCs w:val="28"/>
        </w:rPr>
        <w:t>、灾后重建共15个项目，施工进度均按照计划如期进行。</w:t>
      </w:r>
    </w:p>
    <w:p>
      <w:pPr>
        <w:spacing w:line="520" w:lineRule="exact"/>
        <w:ind w:firstLine="280" w:firstLineChars="100"/>
        <w:outlineLvl w:val="2"/>
        <w:rPr>
          <w:rFonts w:ascii="仿宋" w:hAnsi="仿宋" w:eastAsia="仿宋"/>
          <w:bCs/>
          <w:sz w:val="28"/>
          <w:szCs w:val="28"/>
        </w:rPr>
      </w:pPr>
      <w:r>
        <w:rPr>
          <w:rFonts w:hint="eastAsia" w:ascii="仿宋" w:hAnsi="仿宋" w:eastAsia="仿宋"/>
          <w:bCs/>
          <w:sz w:val="28"/>
          <w:szCs w:val="28"/>
        </w:rPr>
        <w:t>（10）设备到位是否及时</w:t>
      </w:r>
    </w:p>
    <w:p>
      <w:pPr>
        <w:spacing w:line="520" w:lineRule="exact"/>
        <w:ind w:firstLine="560" w:firstLineChars="200"/>
        <w:outlineLvl w:val="2"/>
        <w:rPr>
          <w:rFonts w:ascii="仿宋" w:hAnsi="仿宋" w:eastAsia="仿宋"/>
          <w:bCs/>
          <w:sz w:val="28"/>
          <w:szCs w:val="28"/>
        </w:rPr>
      </w:pPr>
      <w:r>
        <w:rPr>
          <w:rFonts w:hint="eastAsia" w:ascii="仿宋" w:hAnsi="仿宋" w:eastAsia="仿宋"/>
          <w:bCs/>
          <w:sz w:val="28"/>
          <w:szCs w:val="28"/>
        </w:rPr>
        <w:t>2017年度，16台排渍应急泵车设备购置到位后，采取无偿调拨方式及时拨付到各个区排水服务中心并投入使用。</w:t>
      </w:r>
    </w:p>
    <w:p>
      <w:pPr>
        <w:spacing w:line="520" w:lineRule="exact"/>
        <w:ind w:firstLine="560" w:firstLineChars="200"/>
        <w:outlineLvl w:val="2"/>
        <w:rPr>
          <w:rFonts w:ascii="仿宋" w:hAnsi="仿宋" w:eastAsia="仿宋"/>
          <w:bCs/>
          <w:sz w:val="28"/>
          <w:szCs w:val="28"/>
        </w:rPr>
      </w:pPr>
      <w:r>
        <w:rPr>
          <w:rFonts w:hint="eastAsia" w:ascii="仿宋" w:hAnsi="仿宋" w:eastAsia="仿宋"/>
          <w:bCs/>
          <w:sz w:val="28"/>
          <w:szCs w:val="28"/>
        </w:rPr>
        <w:t>4.项目效果</w:t>
      </w:r>
      <w:bookmarkEnd w:id="31"/>
    </w:p>
    <w:p>
      <w:pPr>
        <w:spacing w:line="520" w:lineRule="exact"/>
        <w:ind w:firstLine="560" w:firstLineChars="200"/>
        <w:rPr>
          <w:rFonts w:ascii="仿宋" w:hAnsi="仿宋" w:eastAsia="仿宋"/>
          <w:bCs/>
          <w:color w:val="FF0000"/>
          <w:sz w:val="28"/>
          <w:szCs w:val="28"/>
        </w:rPr>
      </w:pPr>
      <w:r>
        <w:rPr>
          <w:rFonts w:hint="eastAsia" w:ascii="仿宋" w:hAnsi="仿宋" w:eastAsia="仿宋"/>
          <w:bCs/>
          <w:sz w:val="28"/>
          <w:szCs w:val="28"/>
        </w:rPr>
        <w:t>项目建成后确保江滩、堤防防洪能力，充分发挥排水设施的功能，改善水质及水生态环境，使得沿江景观效果得到进一步改善，为城市发展、社会稳定提供有力保障。城镇居民满意度高。本项指标总分为27分，实际得分达26.88分，得分率99.56%,项目效果具体评价如下：</w:t>
      </w:r>
    </w:p>
    <w:p>
      <w:pPr>
        <w:spacing w:line="520" w:lineRule="exact"/>
        <w:ind w:firstLine="420" w:firstLineChars="150"/>
        <w:rPr>
          <w:rFonts w:ascii="仿宋" w:hAnsi="仿宋" w:eastAsia="仿宋"/>
          <w:bCs/>
          <w:sz w:val="28"/>
          <w:szCs w:val="28"/>
        </w:rPr>
      </w:pPr>
      <w:r>
        <w:rPr>
          <w:rFonts w:hint="eastAsia" w:ascii="仿宋" w:hAnsi="仿宋" w:eastAsia="仿宋"/>
          <w:bCs/>
          <w:sz w:val="28"/>
          <w:szCs w:val="28"/>
        </w:rPr>
        <w:t>（1）防洪排涝能力</w:t>
      </w:r>
    </w:p>
    <w:p>
      <w:pPr>
        <w:spacing w:line="520" w:lineRule="exact"/>
        <w:ind w:firstLine="560" w:firstLineChars="200"/>
        <w:rPr>
          <w:rFonts w:ascii="仿宋" w:hAnsi="仿宋" w:eastAsia="仿宋"/>
          <w:bCs/>
          <w:sz w:val="28"/>
          <w:szCs w:val="28"/>
        </w:rPr>
      </w:pPr>
      <w:r>
        <w:rPr>
          <w:rFonts w:hint="eastAsia" w:ascii="仿宋" w:hAnsi="仿宋" w:eastAsia="仿宋" w:cs="仿宋"/>
          <w:bCs/>
          <w:sz w:val="28"/>
          <w:szCs w:val="28"/>
        </w:rPr>
        <w:t>本次绩效评价在效益评价方面通过社会调查方式，发放及回收有效调查问卷35份。</w:t>
      </w:r>
      <w:r>
        <w:rPr>
          <w:rFonts w:hint="eastAsia" w:ascii="仿宋" w:hAnsi="仿宋" w:eastAsia="仿宋"/>
          <w:bCs/>
          <w:sz w:val="28"/>
          <w:szCs w:val="28"/>
        </w:rPr>
        <w:t>经对调查问卷中第2-4题“您认为武青堤铁机路至罗家港的江滩堤防环境整治项目实施后、对提高江滩、堤防防洪能力的安全保障作用是否明显”、“您认为航道船厂至白沙洲上游端的汉阳江滩防洪及环境综合整治续建工程实施后,对提高江滩、堤防防洪能力的安全保障作用是否明显”、“在您所居住的区域内,若因雨季汛期发生内涝,产生的渍水淤积消退是否及时”三题进行调查结果统计：所有被调查对象均认为堤防环境整治项目实施后，对提高江滩、堤防防洪能力的安全保障作用明显，渍水淤积消退及时。</w:t>
      </w:r>
    </w:p>
    <w:p>
      <w:pPr>
        <w:spacing w:line="520" w:lineRule="exact"/>
        <w:ind w:firstLine="280" w:firstLineChars="100"/>
        <w:rPr>
          <w:rFonts w:ascii="仿宋" w:hAnsi="仿宋" w:eastAsia="仿宋"/>
          <w:bCs/>
          <w:sz w:val="28"/>
          <w:szCs w:val="28"/>
        </w:rPr>
      </w:pPr>
      <w:r>
        <w:rPr>
          <w:rFonts w:hint="eastAsia" w:ascii="仿宋" w:hAnsi="仿宋" w:eastAsia="仿宋"/>
          <w:bCs/>
          <w:sz w:val="28"/>
          <w:szCs w:val="28"/>
        </w:rPr>
        <w:t>（2）生活环境改善程度</w:t>
      </w:r>
    </w:p>
    <w:p>
      <w:pPr>
        <w:spacing w:line="520" w:lineRule="exact"/>
        <w:ind w:firstLine="560" w:firstLineChars="200"/>
        <w:rPr>
          <w:rFonts w:ascii="仿宋" w:hAnsi="仿宋" w:eastAsia="仿宋"/>
          <w:bCs/>
          <w:color w:val="FF0000"/>
          <w:sz w:val="28"/>
          <w:szCs w:val="28"/>
        </w:rPr>
      </w:pPr>
      <w:r>
        <w:rPr>
          <w:rFonts w:hint="eastAsia" w:ascii="仿宋" w:hAnsi="仿宋" w:eastAsia="仿宋"/>
          <w:bCs/>
          <w:sz w:val="28"/>
          <w:szCs w:val="28"/>
        </w:rPr>
        <w:t>经对调查问卷中第5-6题“您对您日常生活的饮用水源是否觉得放心、安全”、“你是否觉得沿江滨水环境、江滩环境景观越来越赏心悦目”二题进行调查结果统计：所有被调查对象均认为沿江环境景观得到明显改善；97.14%被调查对象觉得日常生活饮用水的安全品质有保障，仍有2.86%被调查对象觉得不太放心，对饮水安全持一定怀疑态度。但总体来说，被调查对象对生活环境改善程度是满意的。</w:t>
      </w:r>
    </w:p>
    <w:p>
      <w:pPr>
        <w:spacing w:line="520" w:lineRule="exact"/>
        <w:ind w:firstLine="280" w:firstLineChars="100"/>
        <w:rPr>
          <w:rFonts w:ascii="仿宋" w:hAnsi="仿宋" w:eastAsia="仿宋"/>
          <w:bCs/>
          <w:sz w:val="28"/>
          <w:szCs w:val="28"/>
        </w:rPr>
      </w:pPr>
      <w:r>
        <w:rPr>
          <w:rFonts w:hint="eastAsia" w:ascii="仿宋" w:hAnsi="仿宋" w:eastAsia="仿宋"/>
          <w:bCs/>
          <w:sz w:val="28"/>
          <w:szCs w:val="28"/>
        </w:rPr>
        <w:t>（3）可持续影响</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项目建成后，涉及到水利、堤防、排渍、污水处理、城市供用水系统建设工程项目的完工，提升了湖泊水质升级、城市排水防涝能力以及污水收集处理能力，确保了安全渡汛、解决了雨季城区积水深、退水久的现状，美化了居民的生活环境，满足了城市发展的需要，保证了人民群众生命财产的安全，为经济的发展以及社会的安定提供了质量保障。</w:t>
      </w:r>
    </w:p>
    <w:p>
      <w:pPr>
        <w:spacing w:line="520" w:lineRule="exact"/>
        <w:ind w:firstLine="280" w:firstLineChars="100"/>
        <w:rPr>
          <w:rFonts w:ascii="仿宋" w:hAnsi="仿宋" w:eastAsia="仿宋"/>
          <w:bCs/>
          <w:sz w:val="28"/>
          <w:szCs w:val="28"/>
        </w:rPr>
      </w:pPr>
      <w:r>
        <w:rPr>
          <w:rFonts w:hint="eastAsia" w:ascii="仿宋" w:hAnsi="仿宋" w:eastAsia="仿宋"/>
          <w:bCs/>
          <w:sz w:val="28"/>
          <w:szCs w:val="28"/>
        </w:rPr>
        <w:t>（4）公众满意度</w:t>
      </w:r>
    </w:p>
    <w:p>
      <w:pPr>
        <w:spacing w:line="520" w:lineRule="exact"/>
        <w:ind w:firstLine="560" w:firstLineChars="200"/>
        <w:rPr>
          <w:rFonts w:ascii="仿宋" w:hAnsi="仿宋" w:eastAsia="仿宋"/>
          <w:bCs/>
          <w:color w:val="FF0000"/>
          <w:sz w:val="28"/>
          <w:szCs w:val="28"/>
        </w:rPr>
      </w:pPr>
      <w:r>
        <w:rPr>
          <w:rFonts w:hint="eastAsia" w:ascii="仿宋" w:hAnsi="仿宋" w:eastAsia="仿宋" w:cs="仿宋"/>
          <w:bCs/>
          <w:sz w:val="28"/>
          <w:szCs w:val="28"/>
        </w:rPr>
        <w:t>本次绩效评价面对社会公众共随机发放调查问卷35份，收回35份，均为有效问卷。本次问卷分别从防洪、排涝、治污、净水等四个方面进行社会调查。调查结果公众综合满意度为99.52%。</w:t>
      </w:r>
    </w:p>
    <w:p>
      <w:pPr>
        <w:spacing w:before="156" w:beforeLines="50" w:after="156" w:afterLines="50" w:line="520" w:lineRule="exact"/>
        <w:ind w:firstLine="140" w:firstLineChars="50"/>
        <w:outlineLvl w:val="1"/>
        <w:rPr>
          <w:rFonts w:ascii="仿宋" w:hAnsi="仿宋" w:eastAsia="仿宋"/>
          <w:sz w:val="28"/>
          <w:szCs w:val="28"/>
        </w:rPr>
      </w:pPr>
      <w:bookmarkStart w:id="32" w:name="_Toc517708022"/>
      <w:r>
        <w:rPr>
          <w:rFonts w:hint="eastAsia" w:ascii="仿宋" w:hAnsi="仿宋" w:eastAsia="仿宋"/>
          <w:sz w:val="28"/>
          <w:szCs w:val="28"/>
        </w:rPr>
        <w:t>（二）评价结论</w:t>
      </w:r>
      <w:bookmarkEnd w:id="32"/>
    </w:p>
    <w:p>
      <w:pPr>
        <w:spacing w:before="156" w:beforeLines="50" w:after="156" w:afterLines="50" w:line="520" w:lineRule="exact"/>
        <w:ind w:firstLine="560" w:firstLineChars="200"/>
        <w:outlineLvl w:val="2"/>
        <w:rPr>
          <w:rFonts w:ascii="仿宋" w:hAnsi="仿宋" w:eastAsia="仿宋"/>
          <w:sz w:val="28"/>
          <w:szCs w:val="28"/>
        </w:rPr>
      </w:pPr>
      <w:bookmarkStart w:id="33" w:name="_Toc517708023"/>
      <w:r>
        <w:rPr>
          <w:rFonts w:hint="eastAsia" w:ascii="仿宋" w:hAnsi="仿宋" w:eastAsia="仿宋"/>
          <w:sz w:val="28"/>
          <w:szCs w:val="28"/>
        </w:rPr>
        <w:t>1.综合评分结果</w:t>
      </w:r>
      <w:bookmarkEnd w:id="33"/>
    </w:p>
    <w:tbl>
      <w:tblPr>
        <w:tblStyle w:val="9"/>
        <w:tblW w:w="8222" w:type="dxa"/>
        <w:jc w:val="center"/>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992"/>
        <w:gridCol w:w="1276"/>
        <w:gridCol w:w="1417"/>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exact"/>
          <w:tblHeader/>
          <w:jc w:val="center"/>
        </w:trPr>
        <w:tc>
          <w:tcPr>
            <w:tcW w:w="1418" w:type="dxa"/>
            <w:vAlign w:val="center"/>
          </w:tcPr>
          <w:p>
            <w:pPr>
              <w:widowControl/>
              <w:jc w:val="center"/>
              <w:rPr>
                <w:rFonts w:ascii="仿宋" w:hAnsi="仿宋" w:eastAsia="仿宋" w:cs="仿宋"/>
                <w:b/>
                <w:kern w:val="0"/>
                <w:szCs w:val="21"/>
              </w:rPr>
            </w:pPr>
            <w:r>
              <w:rPr>
                <w:rFonts w:hint="eastAsia" w:ascii="仿宋" w:hAnsi="仿宋" w:eastAsia="仿宋" w:cs="仿宋"/>
                <w:b/>
                <w:kern w:val="0"/>
                <w:szCs w:val="21"/>
              </w:rPr>
              <w:t>评价指标</w:t>
            </w:r>
          </w:p>
        </w:tc>
        <w:tc>
          <w:tcPr>
            <w:tcW w:w="992" w:type="dxa"/>
            <w:vAlign w:val="center"/>
          </w:tcPr>
          <w:p>
            <w:pPr>
              <w:widowControl/>
              <w:jc w:val="center"/>
              <w:rPr>
                <w:rFonts w:ascii="仿宋" w:hAnsi="仿宋" w:eastAsia="仿宋" w:cs="仿宋"/>
                <w:b/>
                <w:kern w:val="0"/>
                <w:szCs w:val="21"/>
              </w:rPr>
            </w:pPr>
            <w:r>
              <w:rPr>
                <w:rFonts w:hint="eastAsia" w:ascii="仿宋" w:hAnsi="仿宋" w:eastAsia="仿宋" w:cs="仿宋"/>
                <w:b/>
                <w:kern w:val="0"/>
                <w:szCs w:val="21"/>
              </w:rPr>
              <w:t>权重</w:t>
            </w:r>
          </w:p>
        </w:tc>
        <w:tc>
          <w:tcPr>
            <w:tcW w:w="1276" w:type="dxa"/>
            <w:vAlign w:val="center"/>
          </w:tcPr>
          <w:p>
            <w:pPr>
              <w:widowControl/>
              <w:jc w:val="center"/>
              <w:rPr>
                <w:rFonts w:ascii="仿宋" w:hAnsi="仿宋" w:eastAsia="仿宋" w:cs="仿宋"/>
                <w:b/>
                <w:kern w:val="0"/>
                <w:szCs w:val="21"/>
              </w:rPr>
            </w:pPr>
            <w:r>
              <w:rPr>
                <w:rFonts w:hint="eastAsia" w:ascii="仿宋" w:hAnsi="仿宋" w:eastAsia="仿宋" w:cs="仿宋"/>
                <w:b/>
                <w:kern w:val="0"/>
                <w:szCs w:val="21"/>
              </w:rPr>
              <w:t>评级分值</w:t>
            </w:r>
          </w:p>
        </w:tc>
        <w:tc>
          <w:tcPr>
            <w:tcW w:w="1417" w:type="dxa"/>
            <w:vAlign w:val="center"/>
          </w:tcPr>
          <w:p>
            <w:pPr>
              <w:widowControl/>
              <w:jc w:val="center"/>
              <w:rPr>
                <w:rFonts w:ascii="仿宋" w:hAnsi="仿宋" w:eastAsia="仿宋" w:cs="仿宋"/>
                <w:b/>
                <w:kern w:val="0"/>
                <w:szCs w:val="21"/>
              </w:rPr>
            </w:pPr>
            <w:r>
              <w:rPr>
                <w:rFonts w:hint="eastAsia" w:ascii="仿宋" w:hAnsi="仿宋" w:eastAsia="仿宋" w:cs="仿宋"/>
                <w:b/>
                <w:kern w:val="0"/>
                <w:szCs w:val="21"/>
              </w:rPr>
              <w:t>项目得分</w:t>
            </w:r>
          </w:p>
        </w:tc>
        <w:tc>
          <w:tcPr>
            <w:tcW w:w="1701" w:type="dxa"/>
            <w:vAlign w:val="center"/>
          </w:tcPr>
          <w:p>
            <w:pPr>
              <w:widowControl/>
              <w:jc w:val="center"/>
              <w:rPr>
                <w:rFonts w:ascii="仿宋" w:hAnsi="仿宋" w:eastAsia="仿宋" w:cs="仿宋"/>
                <w:b/>
                <w:kern w:val="0"/>
                <w:szCs w:val="21"/>
              </w:rPr>
            </w:pPr>
            <w:r>
              <w:rPr>
                <w:rFonts w:hint="eastAsia" w:ascii="仿宋" w:hAnsi="仿宋" w:eastAsia="仿宋" w:cs="仿宋"/>
                <w:b/>
                <w:kern w:val="0"/>
                <w:szCs w:val="21"/>
              </w:rPr>
              <w:t>得分率</w:t>
            </w:r>
          </w:p>
        </w:tc>
        <w:tc>
          <w:tcPr>
            <w:tcW w:w="1418" w:type="dxa"/>
            <w:vAlign w:val="center"/>
          </w:tcPr>
          <w:p>
            <w:pPr>
              <w:jc w:val="center"/>
              <w:rPr>
                <w:rFonts w:ascii="仿宋" w:hAnsi="仿宋" w:eastAsia="仿宋" w:cs="仿宋"/>
                <w:b/>
                <w:kern w:val="0"/>
                <w:szCs w:val="21"/>
              </w:rPr>
            </w:pPr>
            <w:r>
              <w:rPr>
                <w:rFonts w:hint="eastAsia" w:ascii="仿宋" w:hAnsi="仿宋" w:eastAsia="仿宋" w:cs="仿宋"/>
                <w:b/>
                <w:kern w:val="0"/>
                <w:szCs w:val="21"/>
              </w:rPr>
              <w:t>评价级别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exact"/>
          <w:jc w:val="center"/>
        </w:trPr>
        <w:tc>
          <w:tcPr>
            <w:tcW w:w="1418"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项目投入</w:t>
            </w:r>
          </w:p>
        </w:tc>
        <w:tc>
          <w:tcPr>
            <w:tcW w:w="992"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12%</w:t>
            </w:r>
          </w:p>
        </w:tc>
        <w:tc>
          <w:tcPr>
            <w:tcW w:w="1276"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12</w:t>
            </w:r>
          </w:p>
        </w:tc>
        <w:tc>
          <w:tcPr>
            <w:tcW w:w="1417"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10.87</w:t>
            </w:r>
          </w:p>
        </w:tc>
        <w:tc>
          <w:tcPr>
            <w:tcW w:w="1701"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90.58%</w:t>
            </w:r>
          </w:p>
        </w:tc>
        <w:tc>
          <w:tcPr>
            <w:tcW w:w="1418" w:type="dxa"/>
            <w:vAlign w:val="center"/>
          </w:tcPr>
          <w:p>
            <w:pPr>
              <w:jc w:val="center"/>
              <w:rPr>
                <w:rFonts w:ascii="仿宋" w:hAnsi="仿宋" w:eastAsia="仿宋" w:cs="仿宋"/>
                <w:kern w:val="0"/>
                <w:szCs w:val="21"/>
              </w:rPr>
            </w:pPr>
            <w:r>
              <w:rPr>
                <w:rFonts w:hint="eastAsia" w:ascii="仿宋" w:hAnsi="仿宋" w:eastAsia="仿宋" w:cs="仿宋"/>
                <w:kern w:val="0"/>
                <w:szCs w:val="21"/>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exact"/>
          <w:jc w:val="center"/>
        </w:trPr>
        <w:tc>
          <w:tcPr>
            <w:tcW w:w="1418"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项目过程</w:t>
            </w:r>
          </w:p>
        </w:tc>
        <w:tc>
          <w:tcPr>
            <w:tcW w:w="992"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28%</w:t>
            </w:r>
          </w:p>
        </w:tc>
        <w:tc>
          <w:tcPr>
            <w:tcW w:w="1276"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28</w:t>
            </w:r>
          </w:p>
        </w:tc>
        <w:tc>
          <w:tcPr>
            <w:tcW w:w="1417"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27</w:t>
            </w:r>
          </w:p>
        </w:tc>
        <w:tc>
          <w:tcPr>
            <w:tcW w:w="1701"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96.43%</w:t>
            </w:r>
          </w:p>
        </w:tc>
        <w:tc>
          <w:tcPr>
            <w:tcW w:w="1418" w:type="dxa"/>
            <w:vAlign w:val="center"/>
          </w:tcPr>
          <w:p>
            <w:pPr>
              <w:jc w:val="center"/>
              <w:rPr>
                <w:rFonts w:ascii="仿宋" w:hAnsi="仿宋" w:eastAsia="仿宋" w:cs="仿宋"/>
                <w:kern w:val="0"/>
                <w:szCs w:val="21"/>
              </w:rPr>
            </w:pPr>
            <w:r>
              <w:rPr>
                <w:rFonts w:hint="eastAsia" w:ascii="仿宋" w:hAnsi="仿宋" w:eastAsia="仿宋" w:cs="仿宋"/>
                <w:kern w:val="0"/>
                <w:szCs w:val="21"/>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exact"/>
          <w:jc w:val="center"/>
        </w:trPr>
        <w:tc>
          <w:tcPr>
            <w:tcW w:w="1418"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项目产出</w:t>
            </w:r>
          </w:p>
        </w:tc>
        <w:tc>
          <w:tcPr>
            <w:tcW w:w="992"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33%</w:t>
            </w:r>
          </w:p>
        </w:tc>
        <w:tc>
          <w:tcPr>
            <w:tcW w:w="1276"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33</w:t>
            </w:r>
          </w:p>
        </w:tc>
        <w:tc>
          <w:tcPr>
            <w:tcW w:w="1417"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33</w:t>
            </w:r>
          </w:p>
        </w:tc>
        <w:tc>
          <w:tcPr>
            <w:tcW w:w="1701"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100%</w:t>
            </w:r>
          </w:p>
        </w:tc>
        <w:tc>
          <w:tcPr>
            <w:tcW w:w="1418" w:type="dxa"/>
            <w:vAlign w:val="center"/>
          </w:tcPr>
          <w:p>
            <w:pPr>
              <w:jc w:val="center"/>
              <w:rPr>
                <w:rFonts w:ascii="仿宋" w:hAnsi="仿宋" w:eastAsia="仿宋" w:cs="仿宋"/>
                <w:kern w:val="0"/>
                <w:szCs w:val="21"/>
              </w:rPr>
            </w:pPr>
            <w:r>
              <w:rPr>
                <w:rFonts w:hint="eastAsia" w:ascii="仿宋" w:hAnsi="仿宋" w:eastAsia="仿宋" w:cs="仿宋"/>
                <w:kern w:val="0"/>
                <w:szCs w:val="21"/>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exact"/>
          <w:jc w:val="center"/>
        </w:trPr>
        <w:tc>
          <w:tcPr>
            <w:tcW w:w="1418"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项目效果</w:t>
            </w:r>
          </w:p>
        </w:tc>
        <w:tc>
          <w:tcPr>
            <w:tcW w:w="992"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27%</w:t>
            </w:r>
          </w:p>
        </w:tc>
        <w:tc>
          <w:tcPr>
            <w:tcW w:w="1276"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27</w:t>
            </w:r>
          </w:p>
        </w:tc>
        <w:tc>
          <w:tcPr>
            <w:tcW w:w="1417"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26.88</w:t>
            </w:r>
          </w:p>
        </w:tc>
        <w:tc>
          <w:tcPr>
            <w:tcW w:w="1701"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99.56%</w:t>
            </w:r>
          </w:p>
        </w:tc>
        <w:tc>
          <w:tcPr>
            <w:tcW w:w="1418" w:type="dxa"/>
            <w:vAlign w:val="center"/>
          </w:tcPr>
          <w:p>
            <w:pPr>
              <w:jc w:val="center"/>
              <w:rPr>
                <w:rFonts w:ascii="仿宋" w:hAnsi="仿宋" w:eastAsia="仿宋" w:cs="仿宋"/>
                <w:kern w:val="0"/>
                <w:szCs w:val="21"/>
              </w:rPr>
            </w:pPr>
            <w:r>
              <w:rPr>
                <w:rFonts w:hint="eastAsia" w:ascii="仿宋" w:hAnsi="仿宋" w:eastAsia="仿宋" w:cs="仿宋"/>
                <w:kern w:val="0"/>
                <w:szCs w:val="21"/>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418"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综合绩效</w:t>
            </w:r>
          </w:p>
        </w:tc>
        <w:tc>
          <w:tcPr>
            <w:tcW w:w="992"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100%</w:t>
            </w:r>
          </w:p>
        </w:tc>
        <w:tc>
          <w:tcPr>
            <w:tcW w:w="1276"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100</w:t>
            </w:r>
          </w:p>
        </w:tc>
        <w:tc>
          <w:tcPr>
            <w:tcW w:w="1417"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97.75</w:t>
            </w:r>
          </w:p>
        </w:tc>
        <w:tc>
          <w:tcPr>
            <w:tcW w:w="1701"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97.75%</w:t>
            </w:r>
          </w:p>
        </w:tc>
        <w:tc>
          <w:tcPr>
            <w:tcW w:w="1418" w:type="dxa"/>
            <w:vAlign w:val="center"/>
          </w:tcPr>
          <w:p>
            <w:pPr>
              <w:jc w:val="center"/>
              <w:rPr>
                <w:rFonts w:ascii="仿宋" w:hAnsi="仿宋" w:eastAsia="仿宋" w:cs="仿宋"/>
                <w:kern w:val="0"/>
                <w:szCs w:val="21"/>
              </w:rPr>
            </w:pPr>
            <w:r>
              <w:rPr>
                <w:rFonts w:hint="eastAsia" w:ascii="仿宋" w:hAnsi="仿宋" w:eastAsia="仿宋" w:cs="仿宋"/>
                <w:kern w:val="0"/>
                <w:szCs w:val="21"/>
              </w:rPr>
              <w:t>优</w:t>
            </w:r>
          </w:p>
        </w:tc>
      </w:tr>
    </w:tbl>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从投入来看，项目立项依据充分，立项申请符合规定，可研报告内容完整，编制科学、实事求是，绩效目标明确、合理，项目资金按计划投入到位，资金拨付及时。</w:t>
      </w:r>
    </w:p>
    <w:p>
      <w:pPr>
        <w:spacing w:line="520" w:lineRule="exact"/>
        <w:ind w:firstLine="560" w:firstLineChars="200"/>
        <w:rPr>
          <w:rFonts w:hint="eastAsia" w:ascii="仿宋" w:hAnsi="仿宋" w:eastAsia="仿宋"/>
          <w:bCs/>
          <w:sz w:val="28"/>
          <w:szCs w:val="28"/>
          <w:lang w:val="en-US" w:eastAsia="zh-CN"/>
        </w:rPr>
      </w:pPr>
      <w:r>
        <w:rPr>
          <w:rFonts w:hint="eastAsia" w:ascii="仿宋" w:hAnsi="仿宋" w:eastAsia="仿宋"/>
          <w:bCs/>
          <w:sz w:val="28"/>
          <w:szCs w:val="28"/>
        </w:rPr>
        <w:t>从过程来看，项目资金使用符合国家财经法规和财务管理制度以及有关专项资管理办法的规定。项目资金拨付与使用有较规范的审批流程和手续。</w:t>
      </w:r>
      <w:r>
        <w:rPr>
          <w:rFonts w:hint="eastAsia" w:ascii="仿宋" w:hAnsi="仿宋" w:eastAsia="仿宋"/>
          <w:bCs/>
          <w:sz w:val="28"/>
          <w:szCs w:val="28"/>
          <w:lang w:val="en-US" w:eastAsia="zh-CN"/>
        </w:rPr>
        <w:t xml:space="preserve"> </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从产出来看，项目产出良好，项目在预定时间内及时实施完成，项目建设及设备购置质量有保障。</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从效果来看，项目的实施能最大程度确保“水安、水清、水净、水优”，为经济发展、人民财产安全、社会稳定提供有力保障，同时改善武汉市人居环境和投资环境，发挥滨江景观整体效益。</w:t>
      </w:r>
    </w:p>
    <w:p>
      <w:pPr>
        <w:spacing w:line="520" w:lineRule="exact"/>
        <w:ind w:firstLine="560" w:firstLineChars="200"/>
        <w:outlineLvl w:val="2"/>
        <w:rPr>
          <w:rFonts w:ascii="仿宋" w:hAnsi="仿宋" w:eastAsia="仿宋"/>
          <w:bCs/>
          <w:sz w:val="28"/>
          <w:szCs w:val="28"/>
        </w:rPr>
      </w:pPr>
      <w:bookmarkStart w:id="34" w:name="_Toc517708024"/>
      <w:r>
        <w:rPr>
          <w:rFonts w:hint="eastAsia" w:ascii="仿宋" w:hAnsi="仿宋" w:eastAsia="仿宋"/>
          <w:bCs/>
          <w:sz w:val="28"/>
          <w:szCs w:val="28"/>
        </w:rPr>
        <w:t>2.主要结论</w:t>
      </w:r>
      <w:bookmarkEnd w:id="34"/>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本次项目绩效评价结果为“优”。项目符合武汉市水生态文明建设规划要求，项目立项依据充分；财务和项目工程管理工作较规范；项目建设完成及时，积极推动了“四水共治”工作，最大程度确保“水安、水清、水净、水优”，为经济发展、人民财产安全、社会稳定提供有力保障，同时改善武汉市人居环境和投资环境，发挥滨江景观整体效益。</w:t>
      </w:r>
    </w:p>
    <w:p>
      <w:pPr>
        <w:spacing w:line="520" w:lineRule="exact"/>
        <w:ind w:firstLine="560" w:firstLineChars="200"/>
        <w:outlineLvl w:val="0"/>
        <w:rPr>
          <w:rFonts w:ascii="黑体" w:hAnsi="黑体" w:eastAsia="黑体" w:cs="黑体"/>
          <w:sz w:val="28"/>
          <w:szCs w:val="28"/>
        </w:rPr>
      </w:pPr>
      <w:bookmarkStart w:id="35" w:name="_Toc511502547"/>
      <w:bookmarkStart w:id="36" w:name="_Toc517708025"/>
      <w:bookmarkStart w:id="37" w:name="_Toc7491"/>
      <w:r>
        <w:rPr>
          <w:rFonts w:hint="eastAsia" w:ascii="黑体" w:hAnsi="黑体" w:eastAsia="黑体" w:cs="黑体"/>
          <w:sz w:val="28"/>
          <w:szCs w:val="28"/>
        </w:rPr>
        <w:t>四、主要经验及做法、存在的问题</w:t>
      </w:r>
      <w:bookmarkEnd w:id="35"/>
      <w:bookmarkEnd w:id="36"/>
      <w:bookmarkEnd w:id="37"/>
    </w:p>
    <w:p>
      <w:pPr>
        <w:spacing w:line="520" w:lineRule="exact"/>
        <w:ind w:firstLine="280" w:firstLineChars="100"/>
        <w:outlineLvl w:val="1"/>
        <w:rPr>
          <w:rFonts w:ascii="仿宋" w:hAnsi="仿宋" w:eastAsia="仿宋"/>
          <w:bCs/>
          <w:sz w:val="28"/>
          <w:szCs w:val="28"/>
          <w:highlight w:val="yellow"/>
        </w:rPr>
      </w:pPr>
      <w:bookmarkStart w:id="38" w:name="_Toc590"/>
      <w:bookmarkStart w:id="39" w:name="_Toc511502548"/>
      <w:bookmarkStart w:id="40" w:name="_Toc517708026"/>
      <w:r>
        <w:rPr>
          <w:rFonts w:hint="eastAsia" w:ascii="仿宋" w:hAnsi="仿宋" w:eastAsia="仿宋"/>
          <w:bCs/>
          <w:sz w:val="28"/>
          <w:szCs w:val="28"/>
        </w:rPr>
        <w:t>（一）主要经验及做法</w:t>
      </w:r>
      <w:bookmarkEnd w:id="38"/>
      <w:bookmarkEnd w:id="39"/>
      <w:bookmarkEnd w:id="40"/>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1、完善体制机制。</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武汉市水务局在全省率先制订出台《全面推行河长制的实施意见》,全面建立河长制，进一步完善湖长制；成立市“四水共治”工作领导小组；推动“四水共治”工作纳入全市绩效管理目标综合考评体系；指导各区成立区级“四水共治”领导小组，初步形成了市区上下联动、部门合力推进的“四水共治”良好工作格局。</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2、</w:t>
      </w:r>
      <w:bookmarkStart w:id="41" w:name="_Toc517708027"/>
      <w:r>
        <w:rPr>
          <w:rFonts w:hint="eastAsia" w:ascii="仿宋" w:hAnsi="仿宋" w:eastAsia="仿宋"/>
          <w:bCs/>
          <w:sz w:val="28"/>
          <w:szCs w:val="28"/>
        </w:rPr>
        <w:t>建立规划体系。</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建立并编制《武汉市建设滨水生态绿城综合规划》、《武汉市污水收集与处理专项规划》、《武汉市“四水共治”湖泊绿地保护和建设专项工作方案》、《全市郊野公园专项规划》、《武汉市重点水体水质提升规划》及《武汉市重点水体水质提升技术指南》等“四水”规划方案，以保证及时启动。</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3、积极改革创新。</w:t>
      </w:r>
    </w:p>
    <w:p>
      <w:pPr>
        <w:widowControl/>
        <w:spacing w:line="590" w:lineRule="exact"/>
        <w:ind w:firstLine="560" w:firstLineChars="200"/>
        <w:jc w:val="left"/>
        <w:rPr>
          <w:rFonts w:ascii="仿宋" w:hAnsi="仿宋" w:eastAsia="仿宋"/>
          <w:bCs/>
          <w:sz w:val="28"/>
          <w:szCs w:val="28"/>
        </w:rPr>
      </w:pPr>
      <w:r>
        <w:rPr>
          <w:rFonts w:hint="eastAsia" w:ascii="仿宋" w:hAnsi="仿宋" w:eastAsia="仿宋"/>
          <w:bCs/>
          <w:sz w:val="28"/>
          <w:szCs w:val="28"/>
        </w:rPr>
        <w:t>水生态文明城市建设试点工作全面启动，“四水共治”统筹协调机制的建立，水务防汛应急管理体系不断完善，污水设施运行维护考核管理机制改革进一步深化，以上各项改革任务稳步推进，为破解我市水务事业发展难题奠定了良好的基础。</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（二）主要问题</w:t>
      </w:r>
      <w:bookmarkEnd w:id="41"/>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1.投入方面</w:t>
      </w:r>
    </w:p>
    <w:p>
      <w:pPr>
        <w:spacing w:line="520" w:lineRule="exact"/>
        <w:ind w:firstLine="280" w:firstLineChars="100"/>
        <w:rPr>
          <w:rFonts w:ascii="仿宋" w:hAnsi="仿宋" w:eastAsia="仿宋"/>
          <w:bCs/>
          <w:sz w:val="28"/>
          <w:szCs w:val="28"/>
        </w:rPr>
      </w:pPr>
      <w:r>
        <w:rPr>
          <w:rFonts w:hint="eastAsia" w:ascii="仿宋" w:hAnsi="仿宋" w:eastAsia="仿宋"/>
          <w:bCs/>
          <w:sz w:val="28"/>
          <w:szCs w:val="28"/>
        </w:rPr>
        <w:t>（1）2017年武汉市水务局本级提供的项目绩效目标申报表，虽然列示了项目支出的具体使用内容，但测算依据过程</w:t>
      </w:r>
      <w:r>
        <w:rPr>
          <w:rFonts w:hint="eastAsia" w:ascii="仿宋" w:hAnsi="仿宋" w:eastAsia="仿宋"/>
          <w:bCs/>
          <w:sz w:val="28"/>
          <w:szCs w:val="28"/>
          <w:lang w:eastAsia="zh-CN"/>
        </w:rPr>
        <w:t>有待完善</w:t>
      </w:r>
      <w:r>
        <w:rPr>
          <w:rFonts w:hint="eastAsia" w:ascii="仿宋" w:hAnsi="仿宋" w:eastAsia="仿宋"/>
          <w:bCs/>
          <w:sz w:val="28"/>
          <w:szCs w:val="28"/>
        </w:rPr>
        <w:t>。</w:t>
      </w:r>
    </w:p>
    <w:p>
      <w:pPr>
        <w:spacing w:line="520" w:lineRule="exact"/>
        <w:ind w:firstLine="280" w:firstLineChars="100"/>
        <w:rPr>
          <w:rFonts w:hint="eastAsia" w:ascii="仿宋" w:hAnsi="仿宋" w:eastAsia="仿宋"/>
          <w:bCs/>
          <w:sz w:val="28"/>
          <w:szCs w:val="28"/>
          <w:lang w:val="en-US" w:eastAsia="zh-CN"/>
        </w:rPr>
      </w:pPr>
      <w:bookmarkStart w:id="42" w:name="_Toc511502550"/>
      <w:bookmarkStart w:id="43" w:name="_Toc517708028"/>
      <w:bookmarkStart w:id="44" w:name="_Toc31947"/>
      <w:r>
        <w:rPr>
          <w:rFonts w:hint="eastAsia" w:ascii="仿宋" w:hAnsi="仿宋" w:eastAsia="仿宋"/>
          <w:bCs/>
          <w:sz w:val="28"/>
          <w:szCs w:val="28"/>
        </w:rPr>
        <w:t>（2）部分项目绩效目标申报表设置的效益指标可衡量程度不够，给评价带来不便。</w:t>
      </w:r>
      <w:r>
        <w:rPr>
          <w:rFonts w:hint="eastAsia" w:ascii="仿宋" w:hAnsi="仿宋" w:eastAsia="仿宋"/>
          <w:bCs/>
          <w:sz w:val="28"/>
          <w:szCs w:val="28"/>
          <w:lang w:val="en-US" w:eastAsia="zh-CN"/>
        </w:rPr>
        <w:t xml:space="preserve"> </w:t>
      </w:r>
    </w:p>
    <w:p>
      <w:pPr>
        <w:spacing w:line="520" w:lineRule="exact"/>
        <w:ind w:firstLine="560" w:firstLineChars="200"/>
        <w:outlineLvl w:val="0"/>
        <w:rPr>
          <w:rFonts w:ascii="黑体" w:hAnsi="黑体" w:eastAsia="黑体" w:cs="黑体"/>
          <w:sz w:val="28"/>
          <w:szCs w:val="28"/>
        </w:rPr>
      </w:pPr>
      <w:r>
        <w:rPr>
          <w:rFonts w:hint="eastAsia" w:ascii="黑体" w:hAnsi="黑体" w:eastAsia="黑体" w:cs="黑体"/>
          <w:sz w:val="28"/>
          <w:szCs w:val="28"/>
        </w:rPr>
        <w:t>五、建议</w:t>
      </w:r>
      <w:bookmarkEnd w:id="42"/>
      <w:bookmarkEnd w:id="43"/>
    </w:p>
    <w:bookmarkEnd w:id="44"/>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增强单位项目工作人员的预算编制参与度，明确项目建设内容，细化项目建设所需投入，客观合理编制项目绩效目标并予以测算过程。设定指标值时，要结合项目计划建设实际情况，采用可量化好评估的数值，便于评价工作的切实开展。</w:t>
      </w:r>
    </w:p>
    <w:p>
      <w:pPr>
        <w:spacing w:line="520" w:lineRule="exact"/>
        <w:ind w:firstLine="560" w:firstLineChars="200"/>
        <w:outlineLvl w:val="0"/>
        <w:rPr>
          <w:rFonts w:ascii="黑体" w:hAnsi="黑体" w:eastAsia="黑体" w:cs="黑体"/>
          <w:sz w:val="28"/>
          <w:szCs w:val="28"/>
        </w:rPr>
      </w:pPr>
      <w:bookmarkStart w:id="45" w:name="_Toc22970"/>
      <w:bookmarkStart w:id="46" w:name="_Toc511502553"/>
      <w:bookmarkStart w:id="47" w:name="_Toc517708029"/>
      <w:r>
        <w:rPr>
          <w:rFonts w:hint="eastAsia" w:ascii="黑体" w:hAnsi="黑体" w:eastAsia="黑体" w:cs="黑体"/>
          <w:sz w:val="28"/>
          <w:szCs w:val="28"/>
        </w:rPr>
        <w:t>六、其他需说明的问题</w:t>
      </w:r>
      <w:bookmarkEnd w:id="45"/>
      <w:bookmarkEnd w:id="46"/>
      <w:bookmarkEnd w:id="47"/>
    </w:p>
    <w:p>
      <w:pPr>
        <w:spacing w:line="520" w:lineRule="exact"/>
        <w:ind w:firstLine="560" w:firstLineChars="200"/>
        <w:rPr>
          <w:rFonts w:ascii="仿宋" w:hAnsi="仿宋" w:eastAsia="仿宋"/>
          <w:sz w:val="28"/>
          <w:szCs w:val="28"/>
        </w:rPr>
      </w:pPr>
      <w:r>
        <w:rPr>
          <w:rFonts w:hint="eastAsia" w:ascii="仿宋" w:hAnsi="仿宋" w:eastAsia="仿宋"/>
          <w:sz w:val="28"/>
          <w:szCs w:val="28"/>
        </w:rPr>
        <w:t>部分项目绩效很难在短期内体现出来，一是项目效益是长期的过程，并非所有的投入当年就能见效，很难在短期内见到的效果；二是项目的效益难以准确定量衡量。</w:t>
      </w:r>
    </w:p>
    <w:p>
      <w:pPr>
        <w:ind w:firstLine="3500" w:firstLineChars="1250"/>
        <w:rPr>
          <w:rFonts w:ascii="仿宋" w:hAnsi="仿宋" w:eastAsia="仿宋"/>
          <w:sz w:val="28"/>
          <w:szCs w:val="28"/>
        </w:rPr>
      </w:pPr>
    </w:p>
    <w:p>
      <w:pPr>
        <w:ind w:firstLine="5040" w:firstLineChars="1800"/>
      </w:pPr>
      <w:r>
        <w:rPr>
          <w:rFonts w:hint="eastAsia" w:ascii="仿宋" w:hAnsi="仿宋" w:eastAsia="仿宋"/>
          <w:sz w:val="28"/>
          <w:szCs w:val="28"/>
          <w:lang w:val="en-US" w:eastAsia="zh-CN"/>
        </w:rPr>
        <w:t xml:space="preserve"> </w:t>
      </w:r>
      <w:r>
        <w:rPr>
          <w:rFonts w:hint="eastAsia" w:ascii="仿宋" w:hAnsi="仿宋" w:eastAsia="仿宋"/>
          <w:sz w:val="28"/>
          <w:szCs w:val="28"/>
        </w:rPr>
        <w:t>二0一八年七月</w:t>
      </w:r>
      <w:r>
        <w:rPr>
          <w:rFonts w:hint="eastAsia" w:ascii="仿宋" w:hAnsi="仿宋" w:eastAsia="仿宋"/>
          <w:sz w:val="28"/>
          <w:szCs w:val="28"/>
          <w:lang w:eastAsia="zh-CN"/>
        </w:rPr>
        <w:t>十五</w:t>
      </w:r>
      <w:r>
        <w:rPr>
          <w:rFonts w:hint="eastAsia" w:ascii="仿宋" w:hAnsi="仿宋" w:eastAsia="仿宋"/>
          <w:sz w:val="28"/>
          <w:szCs w:val="28"/>
        </w:rPr>
        <w:t>日</w:t>
      </w:r>
    </w:p>
    <w:p/>
    <w:sectPr>
      <w:footerReference r:id="rId4" w:type="default"/>
      <w:pgSz w:w="11850" w:h="16783"/>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algun Gothic Semilight">
    <w:altName w:val="宋体"/>
    <w:panose1 w:val="00000000000000000000"/>
    <w:charset w:val="86"/>
    <w:family w:val="swiss"/>
    <w:pitch w:val="default"/>
    <w:sig w:usb0="00000000" w:usb1="00000000" w:usb2="00000012" w:usb3="00000000" w:csb0="003E01BD" w:csb1="00000000"/>
  </w:font>
  <w:font w:name="方正仿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2</w:t>
    </w:r>
    <w: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A68"/>
    <w:rsid w:val="000120AD"/>
    <w:rsid w:val="0001329B"/>
    <w:rsid w:val="000203E4"/>
    <w:rsid w:val="000251D6"/>
    <w:rsid w:val="00030E5F"/>
    <w:rsid w:val="0007238F"/>
    <w:rsid w:val="000924B0"/>
    <w:rsid w:val="00093FCE"/>
    <w:rsid w:val="000A7794"/>
    <w:rsid w:val="000A7CAC"/>
    <w:rsid w:val="000B3F1D"/>
    <w:rsid w:val="000D0282"/>
    <w:rsid w:val="000D5D0F"/>
    <w:rsid w:val="000E016E"/>
    <w:rsid w:val="000E2649"/>
    <w:rsid w:val="000F1C74"/>
    <w:rsid w:val="000F54BB"/>
    <w:rsid w:val="00101AF6"/>
    <w:rsid w:val="00105A30"/>
    <w:rsid w:val="0011353B"/>
    <w:rsid w:val="00120AA1"/>
    <w:rsid w:val="00156362"/>
    <w:rsid w:val="00192AB9"/>
    <w:rsid w:val="001A1E56"/>
    <w:rsid w:val="001A7DEE"/>
    <w:rsid w:val="001B46E8"/>
    <w:rsid w:val="001C75BF"/>
    <w:rsid w:val="001C7E28"/>
    <w:rsid w:val="001D0E27"/>
    <w:rsid w:val="001E4942"/>
    <w:rsid w:val="001E5898"/>
    <w:rsid w:val="001F0906"/>
    <w:rsid w:val="001F28E6"/>
    <w:rsid w:val="001F6A68"/>
    <w:rsid w:val="00206ADA"/>
    <w:rsid w:val="00206B90"/>
    <w:rsid w:val="002145BD"/>
    <w:rsid w:val="00233B2C"/>
    <w:rsid w:val="0023495C"/>
    <w:rsid w:val="002469B1"/>
    <w:rsid w:val="002607BA"/>
    <w:rsid w:val="00264855"/>
    <w:rsid w:val="00291800"/>
    <w:rsid w:val="002918DF"/>
    <w:rsid w:val="002B2CAC"/>
    <w:rsid w:val="002B7930"/>
    <w:rsid w:val="002D0E32"/>
    <w:rsid w:val="002D0FDE"/>
    <w:rsid w:val="002F0DA9"/>
    <w:rsid w:val="00312FF3"/>
    <w:rsid w:val="003210A8"/>
    <w:rsid w:val="00331EB3"/>
    <w:rsid w:val="00360C40"/>
    <w:rsid w:val="00380B1C"/>
    <w:rsid w:val="003967E7"/>
    <w:rsid w:val="00397FCF"/>
    <w:rsid w:val="003A3DA9"/>
    <w:rsid w:val="003B0172"/>
    <w:rsid w:val="003B2D38"/>
    <w:rsid w:val="003B46DF"/>
    <w:rsid w:val="003B77D3"/>
    <w:rsid w:val="003D3697"/>
    <w:rsid w:val="0040480F"/>
    <w:rsid w:val="00411F4F"/>
    <w:rsid w:val="00423797"/>
    <w:rsid w:val="00426CF3"/>
    <w:rsid w:val="00427412"/>
    <w:rsid w:val="00432F46"/>
    <w:rsid w:val="004334C1"/>
    <w:rsid w:val="00462CE4"/>
    <w:rsid w:val="00465EDA"/>
    <w:rsid w:val="00471DA6"/>
    <w:rsid w:val="00473879"/>
    <w:rsid w:val="0047472C"/>
    <w:rsid w:val="00491910"/>
    <w:rsid w:val="00493544"/>
    <w:rsid w:val="004A03E4"/>
    <w:rsid w:val="004A2A1F"/>
    <w:rsid w:val="004C1C60"/>
    <w:rsid w:val="004C58FC"/>
    <w:rsid w:val="004D634D"/>
    <w:rsid w:val="004E15BC"/>
    <w:rsid w:val="00521C34"/>
    <w:rsid w:val="0053051C"/>
    <w:rsid w:val="0053738A"/>
    <w:rsid w:val="00541D6D"/>
    <w:rsid w:val="00542D37"/>
    <w:rsid w:val="00556C7F"/>
    <w:rsid w:val="005743BA"/>
    <w:rsid w:val="0057513C"/>
    <w:rsid w:val="00577112"/>
    <w:rsid w:val="005814A7"/>
    <w:rsid w:val="00592A55"/>
    <w:rsid w:val="005D194C"/>
    <w:rsid w:val="005D4C6D"/>
    <w:rsid w:val="005F2B9A"/>
    <w:rsid w:val="005F5700"/>
    <w:rsid w:val="006177BF"/>
    <w:rsid w:val="00617F03"/>
    <w:rsid w:val="00627ECB"/>
    <w:rsid w:val="00630623"/>
    <w:rsid w:val="00640F88"/>
    <w:rsid w:val="0065104F"/>
    <w:rsid w:val="0066222E"/>
    <w:rsid w:val="00686FDC"/>
    <w:rsid w:val="006A2B94"/>
    <w:rsid w:val="006B0FE2"/>
    <w:rsid w:val="006D0A9D"/>
    <w:rsid w:val="006E0077"/>
    <w:rsid w:val="006E34BF"/>
    <w:rsid w:val="006F7839"/>
    <w:rsid w:val="0070215E"/>
    <w:rsid w:val="007077D5"/>
    <w:rsid w:val="00707E30"/>
    <w:rsid w:val="00707F4F"/>
    <w:rsid w:val="00717F18"/>
    <w:rsid w:val="00720F9B"/>
    <w:rsid w:val="00722FA7"/>
    <w:rsid w:val="0073120B"/>
    <w:rsid w:val="00757C67"/>
    <w:rsid w:val="00760875"/>
    <w:rsid w:val="00761B8F"/>
    <w:rsid w:val="00773A39"/>
    <w:rsid w:val="0078244B"/>
    <w:rsid w:val="00795368"/>
    <w:rsid w:val="007C0060"/>
    <w:rsid w:val="007C08D0"/>
    <w:rsid w:val="007D2490"/>
    <w:rsid w:val="007D5081"/>
    <w:rsid w:val="007E628A"/>
    <w:rsid w:val="007F17C9"/>
    <w:rsid w:val="008037CF"/>
    <w:rsid w:val="0081019B"/>
    <w:rsid w:val="00815C17"/>
    <w:rsid w:val="0083180C"/>
    <w:rsid w:val="00843685"/>
    <w:rsid w:val="008458F7"/>
    <w:rsid w:val="008519D6"/>
    <w:rsid w:val="008717E7"/>
    <w:rsid w:val="008763E2"/>
    <w:rsid w:val="00883388"/>
    <w:rsid w:val="008C0698"/>
    <w:rsid w:val="008C1161"/>
    <w:rsid w:val="008E57B7"/>
    <w:rsid w:val="008F2730"/>
    <w:rsid w:val="008F5D80"/>
    <w:rsid w:val="009020F4"/>
    <w:rsid w:val="00910029"/>
    <w:rsid w:val="00915225"/>
    <w:rsid w:val="00925CBC"/>
    <w:rsid w:val="009464C3"/>
    <w:rsid w:val="009467D3"/>
    <w:rsid w:val="00957DD4"/>
    <w:rsid w:val="00965B59"/>
    <w:rsid w:val="00967767"/>
    <w:rsid w:val="00974745"/>
    <w:rsid w:val="0098048F"/>
    <w:rsid w:val="009833C3"/>
    <w:rsid w:val="009B0E55"/>
    <w:rsid w:val="009B45F7"/>
    <w:rsid w:val="009D2601"/>
    <w:rsid w:val="009F6529"/>
    <w:rsid w:val="00A0421C"/>
    <w:rsid w:val="00A04D38"/>
    <w:rsid w:val="00A04DFD"/>
    <w:rsid w:val="00A26A19"/>
    <w:rsid w:val="00A30AF5"/>
    <w:rsid w:val="00A32F35"/>
    <w:rsid w:val="00A331B8"/>
    <w:rsid w:val="00A402C6"/>
    <w:rsid w:val="00A45794"/>
    <w:rsid w:val="00A47D3D"/>
    <w:rsid w:val="00A56D44"/>
    <w:rsid w:val="00A71054"/>
    <w:rsid w:val="00A73617"/>
    <w:rsid w:val="00A76C71"/>
    <w:rsid w:val="00A94C56"/>
    <w:rsid w:val="00A970F7"/>
    <w:rsid w:val="00A97C13"/>
    <w:rsid w:val="00AB08A6"/>
    <w:rsid w:val="00AC0862"/>
    <w:rsid w:val="00AD2DE4"/>
    <w:rsid w:val="00AE3756"/>
    <w:rsid w:val="00AE4815"/>
    <w:rsid w:val="00AF549B"/>
    <w:rsid w:val="00AF733C"/>
    <w:rsid w:val="00B0116C"/>
    <w:rsid w:val="00B050E9"/>
    <w:rsid w:val="00B278EA"/>
    <w:rsid w:val="00B3507F"/>
    <w:rsid w:val="00B453CB"/>
    <w:rsid w:val="00B55C63"/>
    <w:rsid w:val="00B55F41"/>
    <w:rsid w:val="00B61013"/>
    <w:rsid w:val="00B61A4F"/>
    <w:rsid w:val="00B72A2B"/>
    <w:rsid w:val="00B75038"/>
    <w:rsid w:val="00B75284"/>
    <w:rsid w:val="00B76C9D"/>
    <w:rsid w:val="00B838C3"/>
    <w:rsid w:val="00BA6E59"/>
    <w:rsid w:val="00BC6704"/>
    <w:rsid w:val="00BE1CB3"/>
    <w:rsid w:val="00BF5174"/>
    <w:rsid w:val="00C1689D"/>
    <w:rsid w:val="00C401E5"/>
    <w:rsid w:val="00C47A54"/>
    <w:rsid w:val="00C5217C"/>
    <w:rsid w:val="00C65497"/>
    <w:rsid w:val="00C65CDC"/>
    <w:rsid w:val="00C71E82"/>
    <w:rsid w:val="00C83B2C"/>
    <w:rsid w:val="00C909A7"/>
    <w:rsid w:val="00CB5F51"/>
    <w:rsid w:val="00CD27C8"/>
    <w:rsid w:val="00CD4A08"/>
    <w:rsid w:val="00CD6143"/>
    <w:rsid w:val="00CE4C59"/>
    <w:rsid w:val="00CF3C50"/>
    <w:rsid w:val="00D00CE7"/>
    <w:rsid w:val="00D01713"/>
    <w:rsid w:val="00D01DB8"/>
    <w:rsid w:val="00D22751"/>
    <w:rsid w:val="00D26073"/>
    <w:rsid w:val="00D26A36"/>
    <w:rsid w:val="00D27179"/>
    <w:rsid w:val="00D313F7"/>
    <w:rsid w:val="00D55825"/>
    <w:rsid w:val="00D67A6F"/>
    <w:rsid w:val="00D856B3"/>
    <w:rsid w:val="00D90B84"/>
    <w:rsid w:val="00D90C2E"/>
    <w:rsid w:val="00DA072E"/>
    <w:rsid w:val="00DA604F"/>
    <w:rsid w:val="00DB0B41"/>
    <w:rsid w:val="00DB29E8"/>
    <w:rsid w:val="00DB5B51"/>
    <w:rsid w:val="00DC375D"/>
    <w:rsid w:val="00DD524B"/>
    <w:rsid w:val="00DD5538"/>
    <w:rsid w:val="00DE04AC"/>
    <w:rsid w:val="00DE15AE"/>
    <w:rsid w:val="00E074FD"/>
    <w:rsid w:val="00E07A5E"/>
    <w:rsid w:val="00E260B6"/>
    <w:rsid w:val="00E45386"/>
    <w:rsid w:val="00E61DAE"/>
    <w:rsid w:val="00E70CCF"/>
    <w:rsid w:val="00E7258B"/>
    <w:rsid w:val="00E74270"/>
    <w:rsid w:val="00E80E18"/>
    <w:rsid w:val="00E86778"/>
    <w:rsid w:val="00EA0823"/>
    <w:rsid w:val="00EB0657"/>
    <w:rsid w:val="00EB3BFD"/>
    <w:rsid w:val="00EC6281"/>
    <w:rsid w:val="00ED2C6A"/>
    <w:rsid w:val="00ED3866"/>
    <w:rsid w:val="00ED5A01"/>
    <w:rsid w:val="00ED7BA9"/>
    <w:rsid w:val="00EE5A1F"/>
    <w:rsid w:val="00EF1C6B"/>
    <w:rsid w:val="00EF21B6"/>
    <w:rsid w:val="00F0432E"/>
    <w:rsid w:val="00F21445"/>
    <w:rsid w:val="00F243E2"/>
    <w:rsid w:val="00F2641C"/>
    <w:rsid w:val="00F362F7"/>
    <w:rsid w:val="00F45BF4"/>
    <w:rsid w:val="00F45C76"/>
    <w:rsid w:val="00F528F2"/>
    <w:rsid w:val="00F61CAD"/>
    <w:rsid w:val="00F63D18"/>
    <w:rsid w:val="00F6764E"/>
    <w:rsid w:val="00F74552"/>
    <w:rsid w:val="00F77464"/>
    <w:rsid w:val="00F77837"/>
    <w:rsid w:val="00F85758"/>
    <w:rsid w:val="00F8702F"/>
    <w:rsid w:val="00F91466"/>
    <w:rsid w:val="00F948EF"/>
    <w:rsid w:val="00FA4407"/>
    <w:rsid w:val="00FB441B"/>
    <w:rsid w:val="00FE40A5"/>
    <w:rsid w:val="00FE50AE"/>
    <w:rsid w:val="00FE57B2"/>
    <w:rsid w:val="011619D5"/>
    <w:rsid w:val="024977BB"/>
    <w:rsid w:val="04F362FC"/>
    <w:rsid w:val="05DF0C97"/>
    <w:rsid w:val="07427A65"/>
    <w:rsid w:val="08255181"/>
    <w:rsid w:val="08F54415"/>
    <w:rsid w:val="092513DB"/>
    <w:rsid w:val="094012E4"/>
    <w:rsid w:val="0BAC1EC3"/>
    <w:rsid w:val="0BF5512F"/>
    <w:rsid w:val="0C0617A3"/>
    <w:rsid w:val="0D08548C"/>
    <w:rsid w:val="112253B8"/>
    <w:rsid w:val="11502F87"/>
    <w:rsid w:val="11B0026D"/>
    <w:rsid w:val="12515C87"/>
    <w:rsid w:val="14592BF5"/>
    <w:rsid w:val="15850CA3"/>
    <w:rsid w:val="15F479EB"/>
    <w:rsid w:val="16291CDF"/>
    <w:rsid w:val="181E065C"/>
    <w:rsid w:val="1A365119"/>
    <w:rsid w:val="1A3F1B4F"/>
    <w:rsid w:val="1A3F2E17"/>
    <w:rsid w:val="1B037C30"/>
    <w:rsid w:val="1B4A4ED5"/>
    <w:rsid w:val="1B7D7DF6"/>
    <w:rsid w:val="1C906F25"/>
    <w:rsid w:val="1CD416F7"/>
    <w:rsid w:val="1E660C08"/>
    <w:rsid w:val="203E6FA4"/>
    <w:rsid w:val="2106178E"/>
    <w:rsid w:val="21BF7F6B"/>
    <w:rsid w:val="22B465EB"/>
    <w:rsid w:val="232A40C1"/>
    <w:rsid w:val="23B02F77"/>
    <w:rsid w:val="26403A28"/>
    <w:rsid w:val="27387775"/>
    <w:rsid w:val="28317ACF"/>
    <w:rsid w:val="291F14E2"/>
    <w:rsid w:val="2B2A72A3"/>
    <w:rsid w:val="2C253D27"/>
    <w:rsid w:val="2DA13818"/>
    <w:rsid w:val="2EF714FF"/>
    <w:rsid w:val="2F5739E0"/>
    <w:rsid w:val="312B52F4"/>
    <w:rsid w:val="31BB42DC"/>
    <w:rsid w:val="346053E0"/>
    <w:rsid w:val="34910A7F"/>
    <w:rsid w:val="378E71C4"/>
    <w:rsid w:val="37A82FD8"/>
    <w:rsid w:val="37DB4908"/>
    <w:rsid w:val="38AA2178"/>
    <w:rsid w:val="3A1346F4"/>
    <w:rsid w:val="3A3B3B69"/>
    <w:rsid w:val="3B6B0524"/>
    <w:rsid w:val="3E4A40E7"/>
    <w:rsid w:val="3EC12C56"/>
    <w:rsid w:val="41A77903"/>
    <w:rsid w:val="45912B36"/>
    <w:rsid w:val="469E7D8F"/>
    <w:rsid w:val="47C63392"/>
    <w:rsid w:val="48CA4E98"/>
    <w:rsid w:val="491362C8"/>
    <w:rsid w:val="49437007"/>
    <w:rsid w:val="49EE6A34"/>
    <w:rsid w:val="4B772C52"/>
    <w:rsid w:val="4C6B7847"/>
    <w:rsid w:val="4E054A3A"/>
    <w:rsid w:val="4E163FD2"/>
    <w:rsid w:val="4F9E5A56"/>
    <w:rsid w:val="50454210"/>
    <w:rsid w:val="5061685E"/>
    <w:rsid w:val="53D14E65"/>
    <w:rsid w:val="55EA3965"/>
    <w:rsid w:val="57BF4437"/>
    <w:rsid w:val="59783B58"/>
    <w:rsid w:val="5AA44C18"/>
    <w:rsid w:val="5B1F46C4"/>
    <w:rsid w:val="5C0963D2"/>
    <w:rsid w:val="5C91170E"/>
    <w:rsid w:val="5DCB7161"/>
    <w:rsid w:val="5F235AEB"/>
    <w:rsid w:val="5F2B4604"/>
    <w:rsid w:val="5FAD482D"/>
    <w:rsid w:val="60C056D5"/>
    <w:rsid w:val="61FC2E74"/>
    <w:rsid w:val="636742BA"/>
    <w:rsid w:val="63D12B27"/>
    <w:rsid w:val="63E55F94"/>
    <w:rsid w:val="64BB71DA"/>
    <w:rsid w:val="64FA052D"/>
    <w:rsid w:val="65566F04"/>
    <w:rsid w:val="6589703A"/>
    <w:rsid w:val="663D37A6"/>
    <w:rsid w:val="66B0656B"/>
    <w:rsid w:val="675B5AB9"/>
    <w:rsid w:val="687F2096"/>
    <w:rsid w:val="6B146E2D"/>
    <w:rsid w:val="6C2E5A3D"/>
    <w:rsid w:val="6F732F20"/>
    <w:rsid w:val="6F9047AB"/>
    <w:rsid w:val="70D87661"/>
    <w:rsid w:val="722D7391"/>
    <w:rsid w:val="72DE7EE6"/>
    <w:rsid w:val="732E1A61"/>
    <w:rsid w:val="73986528"/>
    <w:rsid w:val="75647FCD"/>
    <w:rsid w:val="75AC5602"/>
    <w:rsid w:val="75CE698D"/>
    <w:rsid w:val="766846A9"/>
    <w:rsid w:val="77445955"/>
    <w:rsid w:val="77D12C2E"/>
    <w:rsid w:val="77DB16D4"/>
    <w:rsid w:val="786E5426"/>
    <w:rsid w:val="79C62A8B"/>
    <w:rsid w:val="7B470FC6"/>
    <w:rsid w:val="7B533FAA"/>
    <w:rsid w:val="7B5C3842"/>
    <w:rsid w:val="7BD73647"/>
    <w:rsid w:val="7BEA0549"/>
    <w:rsid w:val="7CEB754A"/>
    <w:rsid w:val="7E9D4A56"/>
    <w:rsid w:val="7F1C7F7D"/>
    <w:rsid w:val="7F794C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toc 3"/>
    <w:basedOn w:val="1"/>
    <w:next w:val="1"/>
    <w:qFormat/>
    <w:uiPriority w:val="39"/>
    <w:pPr>
      <w:ind w:left="840" w:leftChars="4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toc 1"/>
    <w:basedOn w:val="1"/>
    <w:next w:val="1"/>
    <w:qFormat/>
    <w:uiPriority w:val="39"/>
  </w:style>
  <w:style w:type="paragraph" w:styleId="6">
    <w:name w:val="toc 2"/>
    <w:basedOn w:val="1"/>
    <w:next w:val="1"/>
    <w:qFormat/>
    <w:uiPriority w:val="39"/>
    <w:pPr>
      <w:ind w:left="420" w:leftChars="200"/>
    </w:pPr>
  </w:style>
  <w:style w:type="character" w:styleId="8">
    <w:name w:val="Hyperlink"/>
    <w:basedOn w:val="7"/>
    <w:unhideWhenUsed/>
    <w:qFormat/>
    <w:uiPriority w:val="99"/>
    <w:rPr>
      <w:color w:val="0563C1" w:themeColor="hyperlink"/>
      <w:u w:val="single"/>
      <w14:textFill>
        <w14:solidFill>
          <w14:schemeClr w14:val="hlink"/>
        </w14:solidFill>
      </w14:textFill>
    </w:rPr>
  </w:style>
  <w:style w:type="paragraph" w:customStyle="1" w:styleId="10">
    <w:name w:val="lxl"/>
    <w:basedOn w:val="1"/>
    <w:qFormat/>
    <w:uiPriority w:val="0"/>
    <w:pPr>
      <w:widowControl/>
      <w:spacing w:line="560" w:lineRule="exact"/>
    </w:pPr>
    <w:rPr>
      <w:rFonts w:ascii="Malgun Gothic Semilight" w:hAnsi="Malgun Gothic Semilight" w:eastAsia="方正仿宋_GBK"/>
      <w:sz w:val="30"/>
      <w:szCs w:val="30"/>
    </w:rPr>
  </w:style>
  <w:style w:type="paragraph" w:styleId="11">
    <w:name w:val="List Paragraph"/>
    <w:basedOn w:val="1"/>
    <w:unhideWhenUsed/>
    <w:qFormat/>
    <w:uiPriority w:val="99"/>
    <w:pPr>
      <w:ind w:firstLine="420" w:firstLineChars="200"/>
    </w:pPr>
  </w:style>
  <w:style w:type="paragraph" w:styleId="12">
    <w:name w:val="No Spacing"/>
    <w:qFormat/>
    <w:uiPriority w:val="1"/>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6385</Words>
  <Characters>6641</Characters>
  <Lines>332</Lines>
  <Paragraphs>245</Paragraphs>
  <TotalTime>1821</TotalTime>
  <ScaleCrop>false</ScaleCrop>
  <LinksUpToDate>false</LinksUpToDate>
  <CharactersWithSpaces>12781</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2018-08-27T07:19:00Z</cp:lastPrinted>
  <dcterms:modified xsi:type="dcterms:W3CDTF">2018-10-26T03:03:20Z</dcterms:modified>
  <cp:revision>195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