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517E84">
        <w:trPr>
          <w:trHeight w:val="10427"/>
        </w:trPr>
        <w:tc>
          <w:tcPr>
            <w:tcW w:w="8522" w:type="dxa"/>
          </w:tcPr>
          <w:p w:rsidR="00517E84" w:rsidRDefault="00517E84">
            <w:pPr>
              <w:jc w:val="center"/>
              <w:rPr>
                <w:rFonts w:ascii="仿宋_GB2312" w:eastAsia="仿宋_GB2312" w:hint="eastAsia"/>
                <w:b/>
                <w:sz w:val="32"/>
                <w:szCs w:val="32"/>
              </w:rPr>
            </w:pPr>
          </w:p>
          <w:p w:rsidR="00517E84" w:rsidRDefault="00517E84">
            <w:pPr>
              <w:jc w:val="center"/>
              <w:rPr>
                <w:rFonts w:ascii="仿宋_GB2312" w:eastAsia="仿宋_GB2312"/>
                <w:b/>
                <w:sz w:val="32"/>
                <w:szCs w:val="32"/>
              </w:rPr>
            </w:pPr>
          </w:p>
          <w:p w:rsidR="00517E84" w:rsidRDefault="00E5360F">
            <w:pPr>
              <w:jc w:val="center"/>
              <w:rPr>
                <w:rFonts w:ascii="黑体" w:eastAsia="黑体" w:hAnsi="黑体"/>
                <w:b/>
                <w:sz w:val="36"/>
                <w:szCs w:val="36"/>
              </w:rPr>
            </w:pPr>
            <w:r>
              <w:rPr>
                <w:rFonts w:ascii="黑体" w:eastAsia="黑体" w:hAnsi="黑体" w:hint="eastAsia"/>
                <w:b/>
                <w:sz w:val="36"/>
                <w:szCs w:val="36"/>
              </w:rPr>
              <w:t>武汉市市直预算项目</w:t>
            </w:r>
          </w:p>
          <w:p w:rsidR="00517E84" w:rsidRDefault="00E5360F">
            <w:pPr>
              <w:jc w:val="center"/>
              <w:rPr>
                <w:rFonts w:ascii="黑体" w:eastAsia="黑体" w:hAnsi="黑体"/>
                <w:b/>
                <w:sz w:val="32"/>
                <w:szCs w:val="32"/>
              </w:rPr>
            </w:pPr>
            <w:r>
              <w:rPr>
                <w:rFonts w:ascii="黑体" w:eastAsia="黑体" w:hAnsi="黑体" w:hint="eastAsia"/>
                <w:b/>
                <w:sz w:val="36"/>
                <w:szCs w:val="36"/>
              </w:rPr>
              <w:t>绩效自评报告</w:t>
            </w:r>
          </w:p>
          <w:p w:rsidR="00517E84" w:rsidRDefault="00517E84">
            <w:pPr>
              <w:jc w:val="center"/>
              <w:rPr>
                <w:rFonts w:ascii="黑体" w:eastAsia="黑体" w:hAnsi="黑体"/>
                <w:b/>
                <w:bCs/>
                <w:sz w:val="32"/>
                <w:szCs w:val="32"/>
              </w:rPr>
            </w:pPr>
          </w:p>
          <w:p w:rsidR="00517E84" w:rsidRDefault="00517E84">
            <w:pPr>
              <w:rPr>
                <w:rFonts w:ascii="黑体" w:eastAsia="黑体" w:hAnsi="黑体"/>
                <w:b/>
                <w:sz w:val="32"/>
                <w:szCs w:val="32"/>
              </w:rPr>
            </w:pPr>
          </w:p>
          <w:p w:rsidR="00517E84" w:rsidRDefault="00517E84">
            <w:pPr>
              <w:rPr>
                <w:rFonts w:ascii="黑体" w:eastAsia="黑体" w:hAnsi="黑体"/>
                <w:b/>
                <w:sz w:val="32"/>
                <w:szCs w:val="32"/>
              </w:rPr>
            </w:pPr>
          </w:p>
          <w:p w:rsidR="00517E84" w:rsidRDefault="00517E84">
            <w:pPr>
              <w:rPr>
                <w:rFonts w:ascii="黑体" w:eastAsia="黑体" w:hAnsi="黑体"/>
                <w:b/>
                <w:sz w:val="32"/>
                <w:szCs w:val="32"/>
              </w:rPr>
            </w:pPr>
          </w:p>
          <w:p w:rsidR="00517E84" w:rsidRDefault="00517E84">
            <w:pPr>
              <w:rPr>
                <w:rFonts w:ascii="黑体" w:eastAsia="黑体" w:hAnsi="黑体"/>
                <w:b/>
                <w:sz w:val="32"/>
                <w:szCs w:val="32"/>
              </w:rPr>
            </w:pPr>
          </w:p>
          <w:p w:rsidR="00517E84" w:rsidRDefault="00E5360F">
            <w:pPr>
              <w:rPr>
                <w:rFonts w:ascii="黑体" w:eastAsia="黑体" w:hAnsi="黑体"/>
                <w:b/>
                <w:sz w:val="32"/>
                <w:szCs w:val="32"/>
              </w:rPr>
            </w:pPr>
            <w:r>
              <w:rPr>
                <w:rFonts w:ascii="黑体" w:eastAsia="黑体" w:hAnsi="黑体" w:hint="eastAsia"/>
                <w:b/>
                <w:sz w:val="32"/>
                <w:szCs w:val="32"/>
              </w:rPr>
              <w:t xml:space="preserve">          </w:t>
            </w:r>
            <w:r>
              <w:rPr>
                <w:rFonts w:ascii="黑体" w:eastAsia="黑体" w:hAnsi="黑体" w:hint="eastAsia"/>
                <w:bCs/>
                <w:sz w:val="32"/>
                <w:szCs w:val="32"/>
              </w:rPr>
              <w:t>项目名称：水利工程运行与维护</w:t>
            </w:r>
          </w:p>
          <w:p w:rsidR="00517E84" w:rsidRDefault="00E5360F">
            <w:pPr>
              <w:tabs>
                <w:tab w:val="center" w:pos="4153"/>
              </w:tabs>
              <w:ind w:leftChars="760" w:left="3196" w:hangingChars="500" w:hanging="1600"/>
              <w:rPr>
                <w:rFonts w:ascii="黑体" w:eastAsia="黑体" w:hAnsi="黑体"/>
                <w:bCs/>
                <w:sz w:val="32"/>
                <w:szCs w:val="32"/>
              </w:rPr>
            </w:pPr>
            <w:r>
              <w:rPr>
                <w:rFonts w:ascii="黑体" w:eastAsia="黑体" w:hAnsi="黑体" w:hint="eastAsia"/>
                <w:bCs/>
                <w:sz w:val="32"/>
                <w:szCs w:val="32"/>
              </w:rPr>
              <w:t>项目单位：武汉市汤逊湖泵站管理处</w:t>
            </w:r>
          </w:p>
          <w:p w:rsidR="00517E84" w:rsidRDefault="00E5360F">
            <w:pPr>
              <w:ind w:firstLineChars="500" w:firstLine="1600"/>
              <w:rPr>
                <w:rFonts w:ascii="黑体" w:eastAsia="黑体" w:hAnsi="黑体"/>
                <w:bCs/>
                <w:sz w:val="32"/>
                <w:szCs w:val="32"/>
              </w:rPr>
            </w:pPr>
            <w:r>
              <w:rPr>
                <w:rFonts w:ascii="黑体" w:eastAsia="黑体" w:hAnsi="黑体" w:hint="eastAsia"/>
                <w:bCs/>
                <w:sz w:val="32"/>
                <w:szCs w:val="32"/>
              </w:rPr>
              <w:t>主管部门：武汉市水务局</w:t>
            </w:r>
          </w:p>
          <w:p w:rsidR="00517E84" w:rsidRDefault="00E5360F">
            <w:pPr>
              <w:ind w:firstLineChars="500" w:firstLine="1600"/>
              <w:rPr>
                <w:rFonts w:ascii="黑体" w:eastAsia="黑体" w:hAnsi="黑体"/>
                <w:bCs/>
                <w:sz w:val="32"/>
                <w:szCs w:val="32"/>
              </w:rPr>
            </w:pPr>
            <w:r>
              <w:rPr>
                <w:rFonts w:ascii="黑体" w:eastAsia="黑体" w:hAnsi="黑体" w:hint="eastAsia"/>
                <w:bCs/>
                <w:sz w:val="32"/>
                <w:szCs w:val="32"/>
              </w:rPr>
              <w:t>报告时间：二○一八年七月</w:t>
            </w:r>
          </w:p>
          <w:p w:rsidR="00517E84" w:rsidRDefault="00517E84">
            <w:pPr>
              <w:jc w:val="center"/>
              <w:rPr>
                <w:rFonts w:ascii="黑体" w:eastAsia="黑体" w:hAnsi="黑体"/>
                <w:bCs/>
                <w:sz w:val="32"/>
                <w:szCs w:val="32"/>
              </w:rPr>
            </w:pPr>
          </w:p>
          <w:p w:rsidR="00517E84" w:rsidRDefault="00517E84">
            <w:pPr>
              <w:jc w:val="center"/>
              <w:rPr>
                <w:rFonts w:ascii="黑体" w:eastAsia="黑体" w:hAnsi="黑体"/>
                <w:bCs/>
                <w:sz w:val="32"/>
                <w:szCs w:val="32"/>
              </w:rPr>
            </w:pPr>
          </w:p>
          <w:p w:rsidR="00517E84" w:rsidRDefault="00517E84">
            <w:pPr>
              <w:jc w:val="center"/>
              <w:rPr>
                <w:rFonts w:ascii="黑体" w:eastAsia="黑体" w:hAnsi="黑体"/>
                <w:bCs/>
                <w:sz w:val="32"/>
                <w:szCs w:val="32"/>
              </w:rPr>
            </w:pPr>
          </w:p>
          <w:p w:rsidR="00517E84" w:rsidRDefault="00517E84">
            <w:pPr>
              <w:jc w:val="center"/>
              <w:rPr>
                <w:rFonts w:ascii="仿宋_GB2312" w:eastAsia="仿宋_GB2312"/>
                <w:b/>
                <w:sz w:val="32"/>
                <w:szCs w:val="32"/>
              </w:rPr>
            </w:pPr>
          </w:p>
          <w:p w:rsidR="00517E84" w:rsidRDefault="00517E84">
            <w:pPr>
              <w:jc w:val="center"/>
              <w:rPr>
                <w:rFonts w:ascii="仿宋_GB2312" w:eastAsia="仿宋_GB2312"/>
                <w:b/>
                <w:sz w:val="32"/>
                <w:szCs w:val="32"/>
              </w:rPr>
            </w:pPr>
          </w:p>
        </w:tc>
      </w:tr>
    </w:tbl>
    <w:p w:rsidR="00517E84" w:rsidRDefault="00517E84" w:rsidP="001A7A48">
      <w:pPr>
        <w:rPr>
          <w:rFonts w:ascii="黑体" w:eastAsia="黑体" w:hAnsi="黑体" w:cs="黑体" w:hint="eastAsia"/>
          <w:b/>
          <w:bCs/>
          <w:sz w:val="32"/>
          <w:szCs w:val="32"/>
        </w:rPr>
        <w:sectPr w:rsidR="00517E84">
          <w:footerReference w:type="default" r:id="rId8"/>
          <w:pgSz w:w="11906" w:h="16838"/>
          <w:pgMar w:top="1440" w:right="1800" w:bottom="1440" w:left="1800" w:header="851" w:footer="992" w:gutter="0"/>
          <w:pgNumType w:start="1"/>
          <w:cols w:space="720"/>
          <w:docGrid w:type="lines" w:linePitch="312"/>
        </w:sectPr>
      </w:pPr>
    </w:p>
    <w:p w:rsidR="00517E84" w:rsidRDefault="001A27E4" w:rsidP="001A27E4">
      <w:pPr>
        <w:spacing w:line="520" w:lineRule="exact"/>
        <w:outlineLvl w:val="0"/>
        <w:rPr>
          <w:rFonts w:ascii="黑体" w:eastAsia="黑体" w:hAnsi="黑体" w:cs="黑体"/>
          <w:bCs/>
          <w:sz w:val="28"/>
          <w:szCs w:val="28"/>
        </w:rPr>
      </w:pPr>
      <w:bookmarkStart w:id="0" w:name="_Toc511502514"/>
      <w:bookmarkStart w:id="1" w:name="_Toc517708009"/>
      <w:r>
        <w:rPr>
          <w:rFonts w:ascii="黑体" w:eastAsia="黑体" w:hAnsi="黑体" w:cs="黑体" w:hint="eastAsia"/>
          <w:bCs/>
          <w:sz w:val="28"/>
          <w:szCs w:val="28"/>
        </w:rPr>
        <w:lastRenderedPageBreak/>
        <w:t xml:space="preserve">    一、项目基本情况</w:t>
      </w:r>
      <w:bookmarkEnd w:id="0"/>
      <w:bookmarkEnd w:id="1"/>
    </w:p>
    <w:p w:rsidR="00517E84" w:rsidRDefault="00E5360F">
      <w:pPr>
        <w:spacing w:line="520" w:lineRule="exact"/>
        <w:ind w:firstLineChars="200" w:firstLine="560"/>
        <w:outlineLvl w:val="1"/>
        <w:rPr>
          <w:rFonts w:ascii="仿宋" w:eastAsia="仿宋" w:hAnsi="仿宋"/>
          <w:bCs/>
          <w:sz w:val="28"/>
          <w:szCs w:val="28"/>
        </w:rPr>
      </w:pPr>
      <w:bookmarkStart w:id="2" w:name="_Toc511502515"/>
      <w:bookmarkStart w:id="3" w:name="_Toc517708010"/>
      <w:r>
        <w:rPr>
          <w:rFonts w:ascii="仿宋" w:eastAsia="仿宋" w:hAnsi="仿宋" w:hint="eastAsia"/>
          <w:bCs/>
          <w:sz w:val="28"/>
          <w:szCs w:val="28"/>
        </w:rPr>
        <w:t>（一）</w:t>
      </w:r>
      <w:bookmarkEnd w:id="2"/>
      <w:r>
        <w:rPr>
          <w:rFonts w:ascii="仿宋" w:eastAsia="仿宋" w:hAnsi="仿宋" w:hint="eastAsia"/>
          <w:bCs/>
          <w:sz w:val="28"/>
          <w:szCs w:val="28"/>
        </w:rPr>
        <w:t>项目概况</w:t>
      </w:r>
      <w:bookmarkEnd w:id="3"/>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武汉市汤逊湖泵站管理处主要承担城市排渍(污)、农业排涝、机组运行、保养、维护等职能，武汉市汤逊湖泵站位于汤逊湖水系长江入口处，座落于长江南岸武汉市洪山区武金堤上，位于武泰闸和陈家闸之间，主要控制和降低该水系内汤逊湖、青菱湖、黄家湖等11个大小湖泊的水位，确保武汉市武昌区、洪山区和江夏区工农业生产、城市建设和人民生命财产安全。排区水系内有京广高铁、沪蓉高速等交通要道，人口居住稠密。为了确保相关职能职责的完成，设立水利工程运行与维护的相关项目，其中灾后水利设施建设项目（上年结转项目）主要用于汤逊湖泵站相关老旧设备设施的更新改造，2017年汤逊湖泵站站容改造用于旧篮球场拆除及新建、道路修筑及排水、站区绿化整治、进水港东南侧围墙新建、拦污栅安全防护设施等，汤逊湖泵排涝电费和汤逊湖泵站运行维护项目主要用于泵站日常管理和养护。</w:t>
      </w:r>
    </w:p>
    <w:p w:rsidR="00517E84" w:rsidRDefault="00E5360F">
      <w:pPr>
        <w:spacing w:line="520" w:lineRule="exact"/>
        <w:ind w:firstLineChars="200" w:firstLine="560"/>
        <w:outlineLvl w:val="1"/>
        <w:rPr>
          <w:rFonts w:ascii="仿宋" w:eastAsia="仿宋" w:hAnsi="仿宋"/>
          <w:bCs/>
          <w:sz w:val="28"/>
          <w:szCs w:val="28"/>
        </w:rPr>
      </w:pPr>
      <w:bookmarkStart w:id="4" w:name="_Toc517708011"/>
      <w:bookmarkStart w:id="5" w:name="_Toc511502516"/>
      <w:r>
        <w:rPr>
          <w:rFonts w:ascii="仿宋" w:eastAsia="仿宋" w:hAnsi="仿宋" w:hint="eastAsia"/>
          <w:bCs/>
          <w:sz w:val="28"/>
          <w:szCs w:val="28"/>
        </w:rPr>
        <w:t>（二）项目预算绩效目标</w:t>
      </w:r>
      <w:bookmarkEnd w:id="4"/>
    </w:p>
    <w:p w:rsidR="00517E84" w:rsidRDefault="00E5360F" w:rsidP="001A27E4">
      <w:pPr>
        <w:spacing w:line="520" w:lineRule="exact"/>
        <w:ind w:firstLineChars="200" w:firstLine="560"/>
        <w:rPr>
          <w:rFonts w:ascii="仿宋" w:eastAsia="仿宋" w:hAnsi="仿宋" w:hint="eastAsia"/>
          <w:bCs/>
          <w:sz w:val="28"/>
          <w:szCs w:val="28"/>
        </w:rPr>
      </w:pPr>
      <w:r>
        <w:rPr>
          <w:rFonts w:ascii="仿宋" w:eastAsia="仿宋" w:hAnsi="仿宋" w:hint="eastAsia"/>
          <w:bCs/>
          <w:sz w:val="28"/>
          <w:szCs w:val="28"/>
        </w:rPr>
        <w:t>项目绩效目标：一是保证汤逊湖泵站安全正常运行，保证汛期汤逊湖水系平稳，保障汤逊湖水系内居民、企业生活生产水安全，并兼顾白沙洲水厂取水安全。二是改善泵站生活环境，加强泵站综合管理建设。三是保证汛期机组正常抽排运行，确保汛期机组及设备完好率100%，顺利完成排涝任务，保障汤逊湖水系水位安全，改善辖区内居民生活环境。四是保证汛期电能供应正常，机组正常运行抽排。具体绩效指标设置情况如下：</w:t>
      </w:r>
    </w:p>
    <w:p w:rsidR="00517E84" w:rsidRDefault="00E5360F">
      <w:pPr>
        <w:spacing w:line="520" w:lineRule="exact"/>
        <w:ind w:firstLineChars="200" w:firstLine="562"/>
        <w:jc w:val="center"/>
        <w:rPr>
          <w:rFonts w:ascii="仿宋" w:eastAsia="仿宋" w:hAnsi="仿宋"/>
          <w:b/>
          <w:sz w:val="28"/>
          <w:szCs w:val="28"/>
        </w:rPr>
      </w:pPr>
      <w:r>
        <w:rPr>
          <w:rFonts w:ascii="仿宋" w:eastAsia="仿宋" w:hAnsi="仿宋" w:hint="eastAsia"/>
          <w:b/>
          <w:sz w:val="28"/>
          <w:szCs w:val="28"/>
        </w:rPr>
        <w:t>汤逊湖泵站运行管理补助及应急疏捞项目绩效指标设置</w:t>
      </w:r>
    </w:p>
    <w:tbl>
      <w:tblPr>
        <w:tblW w:w="8946" w:type="dxa"/>
        <w:jc w:val="center"/>
        <w:tblLayout w:type="fixed"/>
        <w:tblLook w:val="04A0" w:firstRow="1" w:lastRow="0" w:firstColumn="1" w:lastColumn="0" w:noHBand="0" w:noVBand="1"/>
      </w:tblPr>
      <w:tblGrid>
        <w:gridCol w:w="1291"/>
        <w:gridCol w:w="1809"/>
        <w:gridCol w:w="4145"/>
        <w:gridCol w:w="1701"/>
      </w:tblGrid>
      <w:tr w:rsidR="00517E84">
        <w:trPr>
          <w:trHeight w:val="360"/>
          <w:jc w:val="center"/>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一级指标</w:t>
            </w:r>
          </w:p>
        </w:tc>
        <w:tc>
          <w:tcPr>
            <w:tcW w:w="1809"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二级指标</w:t>
            </w:r>
          </w:p>
        </w:tc>
        <w:tc>
          <w:tcPr>
            <w:tcW w:w="4145"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指标内容</w:t>
            </w:r>
          </w:p>
        </w:tc>
        <w:tc>
          <w:tcPr>
            <w:tcW w:w="1701"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指标值</w:t>
            </w:r>
          </w:p>
        </w:tc>
      </w:tr>
      <w:tr w:rsidR="00517E84">
        <w:trPr>
          <w:trHeight w:val="360"/>
          <w:jc w:val="center"/>
        </w:trPr>
        <w:tc>
          <w:tcPr>
            <w:tcW w:w="1291" w:type="dxa"/>
            <w:vMerge w:val="restart"/>
            <w:tcBorders>
              <w:top w:val="nil"/>
              <w:left w:val="single" w:sz="4" w:space="0" w:color="auto"/>
              <w:bottom w:val="single" w:sz="4" w:space="0" w:color="auto"/>
              <w:right w:val="single" w:sz="4" w:space="0" w:color="auto"/>
            </w:tcBorders>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产出指标</w:t>
            </w:r>
          </w:p>
        </w:tc>
        <w:tc>
          <w:tcPr>
            <w:tcW w:w="18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41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泵站运行</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正常</w:t>
            </w:r>
          </w:p>
        </w:tc>
      </w:tr>
      <w:tr w:rsidR="00517E84">
        <w:trPr>
          <w:trHeight w:val="36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8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41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2017年</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一年</w:t>
            </w:r>
          </w:p>
        </w:tc>
      </w:tr>
      <w:tr w:rsidR="00517E84">
        <w:trPr>
          <w:trHeight w:val="36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8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成本指标</w:t>
            </w:r>
          </w:p>
        </w:tc>
        <w:tc>
          <w:tcPr>
            <w:tcW w:w="41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控制在预算内</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139.1万元</w:t>
            </w:r>
          </w:p>
        </w:tc>
      </w:tr>
      <w:tr w:rsidR="00517E84">
        <w:trPr>
          <w:trHeight w:val="360"/>
          <w:jc w:val="center"/>
        </w:trPr>
        <w:tc>
          <w:tcPr>
            <w:tcW w:w="1291" w:type="dxa"/>
            <w:vMerge w:val="restart"/>
            <w:tcBorders>
              <w:top w:val="single" w:sz="4" w:space="0" w:color="auto"/>
              <w:left w:val="single" w:sz="4" w:space="0" w:color="auto"/>
              <w:bottom w:val="single" w:sz="4" w:space="0" w:color="auto"/>
              <w:right w:val="single" w:sz="4" w:space="0" w:color="auto"/>
            </w:tcBorders>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效益指标</w:t>
            </w:r>
          </w:p>
        </w:tc>
        <w:tc>
          <w:tcPr>
            <w:tcW w:w="18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41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保证辖区排水正常</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好</w:t>
            </w:r>
          </w:p>
        </w:tc>
      </w:tr>
      <w:tr w:rsidR="00517E84">
        <w:trPr>
          <w:trHeight w:val="36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8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41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对环境无影响</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良好</w:t>
            </w:r>
          </w:p>
        </w:tc>
      </w:tr>
      <w:tr w:rsidR="00517E84">
        <w:trPr>
          <w:trHeight w:val="36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8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41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保证泵站标准化管理</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可持续</w:t>
            </w:r>
          </w:p>
        </w:tc>
      </w:tr>
      <w:tr w:rsidR="00517E84">
        <w:trPr>
          <w:trHeight w:val="675"/>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8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41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服务对象满意度</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90%</w:t>
            </w:r>
          </w:p>
        </w:tc>
      </w:tr>
    </w:tbl>
    <w:p w:rsidR="00517E84" w:rsidRDefault="00517E84">
      <w:pPr>
        <w:spacing w:line="520" w:lineRule="exact"/>
        <w:rPr>
          <w:rFonts w:ascii="仿宋" w:eastAsia="仿宋" w:hAnsi="仿宋"/>
          <w:b/>
          <w:sz w:val="28"/>
          <w:szCs w:val="28"/>
        </w:rPr>
      </w:pPr>
    </w:p>
    <w:p w:rsidR="00517E84" w:rsidRDefault="00E5360F">
      <w:pPr>
        <w:spacing w:line="520" w:lineRule="exact"/>
        <w:ind w:firstLineChars="200" w:firstLine="562"/>
        <w:jc w:val="center"/>
        <w:rPr>
          <w:rFonts w:ascii="仿宋" w:eastAsia="仿宋" w:hAnsi="仿宋"/>
          <w:b/>
          <w:sz w:val="28"/>
          <w:szCs w:val="28"/>
        </w:rPr>
      </w:pPr>
      <w:r>
        <w:rPr>
          <w:rFonts w:ascii="仿宋" w:eastAsia="仿宋" w:hAnsi="仿宋" w:hint="eastAsia"/>
          <w:b/>
          <w:sz w:val="28"/>
          <w:szCs w:val="28"/>
        </w:rPr>
        <w:t>汤逊湖泵站站容改造项目绩效指标设置</w:t>
      </w:r>
    </w:p>
    <w:tbl>
      <w:tblPr>
        <w:tblW w:w="8946" w:type="dxa"/>
        <w:tblInd w:w="93" w:type="dxa"/>
        <w:tblLayout w:type="fixed"/>
        <w:tblLook w:val="04A0" w:firstRow="1" w:lastRow="0" w:firstColumn="1" w:lastColumn="0" w:noHBand="0" w:noVBand="1"/>
      </w:tblPr>
      <w:tblGrid>
        <w:gridCol w:w="1291"/>
        <w:gridCol w:w="1709"/>
        <w:gridCol w:w="4245"/>
        <w:gridCol w:w="1701"/>
      </w:tblGrid>
      <w:tr w:rsidR="00517E84">
        <w:trPr>
          <w:trHeight w:val="495"/>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一级指标</w:t>
            </w:r>
          </w:p>
        </w:tc>
        <w:tc>
          <w:tcPr>
            <w:tcW w:w="1709"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二级指标</w:t>
            </w:r>
          </w:p>
        </w:tc>
        <w:tc>
          <w:tcPr>
            <w:tcW w:w="4245"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指标内容</w:t>
            </w:r>
          </w:p>
        </w:tc>
        <w:tc>
          <w:tcPr>
            <w:tcW w:w="1701"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指标值</w:t>
            </w:r>
          </w:p>
        </w:tc>
      </w:tr>
      <w:tr w:rsidR="00517E84">
        <w:trPr>
          <w:trHeight w:val="420"/>
        </w:trPr>
        <w:tc>
          <w:tcPr>
            <w:tcW w:w="1291" w:type="dxa"/>
            <w:vMerge w:val="restart"/>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17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42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验收分部工程数</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5个</w:t>
            </w:r>
          </w:p>
        </w:tc>
      </w:tr>
      <w:tr w:rsidR="00517E84">
        <w:trPr>
          <w:trHeight w:val="420"/>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42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工程验收合格率</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100%</w:t>
            </w:r>
          </w:p>
        </w:tc>
      </w:tr>
      <w:tr w:rsidR="00517E84">
        <w:trPr>
          <w:trHeight w:val="420"/>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42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工程开工至竣工</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一年</w:t>
            </w:r>
          </w:p>
        </w:tc>
      </w:tr>
      <w:tr w:rsidR="00517E84">
        <w:trPr>
          <w:trHeight w:val="420"/>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成本指标</w:t>
            </w:r>
          </w:p>
        </w:tc>
        <w:tc>
          <w:tcPr>
            <w:tcW w:w="42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成本投入</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150万元</w:t>
            </w:r>
          </w:p>
        </w:tc>
      </w:tr>
      <w:tr w:rsidR="00517E84">
        <w:trPr>
          <w:trHeight w:val="495"/>
        </w:trPr>
        <w:tc>
          <w:tcPr>
            <w:tcW w:w="1291" w:type="dxa"/>
            <w:vMerge w:val="restart"/>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17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经济效益指标</w:t>
            </w:r>
          </w:p>
        </w:tc>
        <w:tc>
          <w:tcPr>
            <w:tcW w:w="42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发挥工程设计应有效益</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100%</w:t>
            </w:r>
          </w:p>
        </w:tc>
      </w:tr>
      <w:tr w:rsidR="00517E84">
        <w:trPr>
          <w:trHeight w:val="510"/>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42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发挥工程设计应有效益</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良好</w:t>
            </w:r>
          </w:p>
        </w:tc>
      </w:tr>
      <w:tr w:rsidR="00517E84">
        <w:trPr>
          <w:trHeight w:val="420"/>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42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发挥工程设计应有效益</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好</w:t>
            </w:r>
          </w:p>
        </w:tc>
      </w:tr>
      <w:tr w:rsidR="00517E84">
        <w:trPr>
          <w:trHeight w:val="420"/>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42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发挥工程设计应有效益</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可持续</w:t>
            </w:r>
          </w:p>
        </w:tc>
      </w:tr>
      <w:tr w:rsidR="00517E84">
        <w:trPr>
          <w:trHeight w:val="675"/>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0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424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群众满意</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90%</w:t>
            </w:r>
          </w:p>
        </w:tc>
      </w:tr>
    </w:tbl>
    <w:p w:rsidR="00517E84" w:rsidRDefault="00517E84">
      <w:pPr>
        <w:spacing w:line="520" w:lineRule="exact"/>
        <w:ind w:firstLineChars="200" w:firstLine="560"/>
        <w:rPr>
          <w:rFonts w:ascii="仿宋" w:eastAsia="仿宋" w:hAnsi="仿宋"/>
          <w:bCs/>
          <w:sz w:val="28"/>
          <w:szCs w:val="28"/>
        </w:rPr>
      </w:pPr>
    </w:p>
    <w:p w:rsidR="00517E84" w:rsidRDefault="00E5360F">
      <w:pPr>
        <w:spacing w:line="520" w:lineRule="exact"/>
        <w:ind w:firstLineChars="200" w:firstLine="562"/>
        <w:jc w:val="center"/>
        <w:rPr>
          <w:rFonts w:ascii="仿宋" w:eastAsia="仿宋" w:hAnsi="仿宋"/>
          <w:b/>
          <w:sz w:val="28"/>
          <w:szCs w:val="28"/>
        </w:rPr>
      </w:pPr>
      <w:r>
        <w:rPr>
          <w:rFonts w:ascii="仿宋" w:eastAsia="仿宋" w:hAnsi="仿宋" w:hint="eastAsia"/>
          <w:b/>
          <w:sz w:val="28"/>
          <w:szCs w:val="28"/>
        </w:rPr>
        <w:t>汤逊湖泵站运行维护项目绩效指标设置</w:t>
      </w:r>
    </w:p>
    <w:tbl>
      <w:tblPr>
        <w:tblW w:w="8946" w:type="dxa"/>
        <w:jc w:val="center"/>
        <w:tblLayout w:type="fixed"/>
        <w:tblLook w:val="04A0" w:firstRow="1" w:lastRow="0" w:firstColumn="1" w:lastColumn="0" w:noHBand="0" w:noVBand="1"/>
      </w:tblPr>
      <w:tblGrid>
        <w:gridCol w:w="1291"/>
        <w:gridCol w:w="1669"/>
        <w:gridCol w:w="4285"/>
        <w:gridCol w:w="1701"/>
      </w:tblGrid>
      <w:tr w:rsidR="00517E84">
        <w:trPr>
          <w:trHeight w:val="495"/>
          <w:tblHeader/>
          <w:jc w:val="center"/>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一级指标</w:t>
            </w:r>
          </w:p>
        </w:tc>
        <w:tc>
          <w:tcPr>
            <w:tcW w:w="1669"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二级指标</w:t>
            </w:r>
          </w:p>
        </w:tc>
        <w:tc>
          <w:tcPr>
            <w:tcW w:w="4285"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指标内容</w:t>
            </w:r>
          </w:p>
        </w:tc>
        <w:tc>
          <w:tcPr>
            <w:tcW w:w="1701"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指标值</w:t>
            </w:r>
          </w:p>
        </w:tc>
      </w:tr>
      <w:tr w:rsidR="00517E84">
        <w:trPr>
          <w:trHeight w:val="420"/>
          <w:jc w:val="center"/>
        </w:trPr>
        <w:tc>
          <w:tcPr>
            <w:tcW w:w="1291" w:type="dxa"/>
            <w:vMerge w:val="restart"/>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166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428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维修养护</w:t>
            </w:r>
          </w:p>
        </w:tc>
        <w:tc>
          <w:tcPr>
            <w:tcW w:w="1701" w:type="dxa"/>
            <w:tcBorders>
              <w:top w:val="nil"/>
              <w:left w:val="nil"/>
              <w:bottom w:val="single" w:sz="4" w:space="0" w:color="auto"/>
              <w:right w:val="single" w:sz="4" w:space="0" w:color="auto"/>
            </w:tcBorders>
            <w:shd w:val="clear" w:color="000000" w:fill="FFFFFF"/>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258项</w:t>
            </w:r>
          </w:p>
        </w:tc>
      </w:tr>
      <w:tr w:rsidR="00517E84">
        <w:trPr>
          <w:trHeight w:val="42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66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4285" w:type="dxa"/>
            <w:tcBorders>
              <w:top w:val="nil"/>
              <w:left w:val="nil"/>
              <w:bottom w:val="nil"/>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检测运行</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合格</w:t>
            </w:r>
          </w:p>
        </w:tc>
      </w:tr>
      <w:tr w:rsidR="00517E84">
        <w:trPr>
          <w:trHeight w:val="585"/>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66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4285"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维修后正常</w:t>
            </w:r>
            <w:r>
              <w:rPr>
                <w:rFonts w:ascii="仿宋" w:eastAsia="仿宋" w:hAnsi="仿宋" w:cs="宋体" w:hint="eastAsia"/>
                <w:kern w:val="0"/>
                <w:sz w:val="24"/>
              </w:rPr>
              <w:br/>
              <w:t>运行时间</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一年</w:t>
            </w:r>
          </w:p>
        </w:tc>
      </w:tr>
      <w:tr w:rsidR="00517E84">
        <w:trPr>
          <w:trHeight w:val="42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66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成本指标</w:t>
            </w:r>
          </w:p>
        </w:tc>
        <w:tc>
          <w:tcPr>
            <w:tcW w:w="428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设备维护费用</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18.75万元</w:t>
            </w:r>
          </w:p>
        </w:tc>
      </w:tr>
      <w:tr w:rsidR="00517E84">
        <w:trPr>
          <w:trHeight w:val="675"/>
          <w:jc w:val="center"/>
        </w:trPr>
        <w:tc>
          <w:tcPr>
            <w:tcW w:w="1291" w:type="dxa"/>
            <w:vMerge w:val="restart"/>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166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428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汛期汤逊湖水系水位</w:t>
            </w:r>
            <w:r>
              <w:rPr>
                <w:rFonts w:ascii="仿宋" w:eastAsia="仿宋" w:hAnsi="仿宋" w:cs="宋体" w:hint="eastAsia"/>
                <w:kern w:val="0"/>
                <w:sz w:val="24"/>
              </w:rPr>
              <w:br/>
              <w:t>控制</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良好</w:t>
            </w:r>
          </w:p>
        </w:tc>
      </w:tr>
      <w:tr w:rsidR="00517E84">
        <w:trPr>
          <w:trHeight w:val="915"/>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66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428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维修对环境无污染</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良好</w:t>
            </w:r>
          </w:p>
        </w:tc>
      </w:tr>
      <w:tr w:rsidR="00517E84">
        <w:trPr>
          <w:trHeight w:val="54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66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可持续影响指</w:t>
            </w:r>
            <w:r>
              <w:rPr>
                <w:rFonts w:ascii="仿宋" w:eastAsia="仿宋" w:hAnsi="仿宋" w:cs="宋体" w:hint="eastAsia"/>
                <w:kern w:val="0"/>
                <w:sz w:val="24"/>
              </w:rPr>
              <w:lastRenderedPageBreak/>
              <w:t>标</w:t>
            </w:r>
          </w:p>
        </w:tc>
        <w:tc>
          <w:tcPr>
            <w:tcW w:w="428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lastRenderedPageBreak/>
              <w:t>设备运行情况</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持续运行</w:t>
            </w:r>
          </w:p>
        </w:tc>
      </w:tr>
      <w:tr w:rsidR="00517E84">
        <w:trPr>
          <w:trHeight w:val="555"/>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669"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4285"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服务对象满意度</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90%</w:t>
            </w:r>
          </w:p>
        </w:tc>
      </w:tr>
    </w:tbl>
    <w:p w:rsidR="00517E84" w:rsidRDefault="00517E84">
      <w:pPr>
        <w:spacing w:line="520" w:lineRule="exact"/>
        <w:ind w:firstLineChars="200" w:firstLine="562"/>
        <w:jc w:val="center"/>
        <w:rPr>
          <w:rFonts w:ascii="仿宋" w:eastAsia="仿宋" w:hAnsi="仿宋"/>
          <w:b/>
          <w:sz w:val="28"/>
          <w:szCs w:val="28"/>
        </w:rPr>
      </w:pPr>
    </w:p>
    <w:p w:rsidR="00517E84" w:rsidRDefault="00E5360F">
      <w:pPr>
        <w:spacing w:line="520" w:lineRule="exact"/>
        <w:ind w:firstLineChars="200" w:firstLine="562"/>
        <w:jc w:val="center"/>
        <w:rPr>
          <w:rFonts w:ascii="仿宋" w:eastAsia="仿宋" w:hAnsi="仿宋"/>
          <w:bCs/>
          <w:sz w:val="28"/>
          <w:szCs w:val="28"/>
        </w:rPr>
      </w:pPr>
      <w:r>
        <w:rPr>
          <w:rFonts w:ascii="仿宋" w:eastAsia="仿宋" w:hAnsi="仿宋" w:hint="eastAsia"/>
          <w:b/>
          <w:sz w:val="28"/>
          <w:szCs w:val="28"/>
        </w:rPr>
        <w:t>汤逊湖泵站排涝电费项目绩效指标设置</w:t>
      </w:r>
    </w:p>
    <w:tbl>
      <w:tblPr>
        <w:tblW w:w="8946" w:type="dxa"/>
        <w:jc w:val="center"/>
        <w:tblLayout w:type="fixed"/>
        <w:tblLook w:val="04A0" w:firstRow="1" w:lastRow="0" w:firstColumn="1" w:lastColumn="0" w:noHBand="0" w:noVBand="1"/>
      </w:tblPr>
      <w:tblGrid>
        <w:gridCol w:w="1291"/>
        <w:gridCol w:w="1738"/>
        <w:gridCol w:w="4216"/>
        <w:gridCol w:w="1701"/>
      </w:tblGrid>
      <w:tr w:rsidR="00517E84">
        <w:trPr>
          <w:trHeight w:val="495"/>
          <w:jc w:val="center"/>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一级指标</w:t>
            </w:r>
          </w:p>
        </w:tc>
        <w:tc>
          <w:tcPr>
            <w:tcW w:w="1738"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二级指标</w:t>
            </w:r>
          </w:p>
        </w:tc>
        <w:tc>
          <w:tcPr>
            <w:tcW w:w="4216"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指标内容</w:t>
            </w:r>
          </w:p>
        </w:tc>
        <w:tc>
          <w:tcPr>
            <w:tcW w:w="1701"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b/>
                <w:bCs/>
                <w:kern w:val="0"/>
                <w:sz w:val="24"/>
              </w:rPr>
            </w:pPr>
            <w:r>
              <w:rPr>
                <w:rFonts w:ascii="仿宋" w:eastAsia="仿宋" w:hAnsi="仿宋" w:cs="宋体" w:hint="eastAsia"/>
                <w:b/>
                <w:bCs/>
                <w:kern w:val="0"/>
                <w:sz w:val="24"/>
              </w:rPr>
              <w:t>指标值</w:t>
            </w:r>
          </w:p>
        </w:tc>
      </w:tr>
      <w:tr w:rsidR="00517E84">
        <w:trPr>
          <w:trHeight w:val="420"/>
          <w:jc w:val="center"/>
        </w:trPr>
        <w:tc>
          <w:tcPr>
            <w:tcW w:w="1291" w:type="dxa"/>
            <w:vMerge w:val="restart"/>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173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4216"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保证排涝设备用电</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 xml:space="preserve"> </w:t>
            </w:r>
          </w:p>
        </w:tc>
      </w:tr>
      <w:tr w:rsidR="00517E84">
        <w:trPr>
          <w:trHeight w:val="42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3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4216" w:type="dxa"/>
            <w:tcBorders>
              <w:top w:val="nil"/>
              <w:left w:val="nil"/>
              <w:bottom w:val="nil"/>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排涝用电稳定</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正常</w:t>
            </w:r>
          </w:p>
        </w:tc>
      </w:tr>
      <w:tr w:rsidR="00517E84">
        <w:trPr>
          <w:trHeight w:val="42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3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4216"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全年有效运行排涝</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一年</w:t>
            </w:r>
          </w:p>
        </w:tc>
      </w:tr>
      <w:tr w:rsidR="00517E84">
        <w:trPr>
          <w:trHeight w:val="42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3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成本指标</w:t>
            </w:r>
          </w:p>
        </w:tc>
        <w:tc>
          <w:tcPr>
            <w:tcW w:w="4216"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电费投入</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68.9万元</w:t>
            </w:r>
          </w:p>
        </w:tc>
      </w:tr>
      <w:tr w:rsidR="00517E84">
        <w:trPr>
          <w:trHeight w:val="585"/>
          <w:jc w:val="center"/>
        </w:trPr>
        <w:tc>
          <w:tcPr>
            <w:tcW w:w="1291" w:type="dxa"/>
            <w:vMerge w:val="restart"/>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173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经济效益指标</w:t>
            </w:r>
          </w:p>
        </w:tc>
        <w:tc>
          <w:tcPr>
            <w:tcW w:w="4216"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保证设备电力供应正常</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100%</w:t>
            </w:r>
          </w:p>
        </w:tc>
      </w:tr>
      <w:tr w:rsidR="00517E84">
        <w:trPr>
          <w:trHeight w:val="90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3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4216"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汛期汤逊湖水系水位</w:t>
            </w:r>
            <w:r>
              <w:rPr>
                <w:rFonts w:ascii="仿宋" w:eastAsia="仿宋" w:hAnsi="仿宋" w:cs="宋体" w:hint="eastAsia"/>
                <w:kern w:val="0"/>
                <w:sz w:val="24"/>
              </w:rPr>
              <w:br/>
              <w:t>控制</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≤20.5米</w:t>
            </w:r>
          </w:p>
        </w:tc>
      </w:tr>
      <w:tr w:rsidR="00517E84">
        <w:trPr>
          <w:trHeight w:val="510"/>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3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4216"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排涝用电对环境无污染</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良好</w:t>
            </w:r>
          </w:p>
        </w:tc>
      </w:tr>
      <w:tr w:rsidR="00517E84">
        <w:trPr>
          <w:trHeight w:val="555"/>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3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4216"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保证设备电力供应正常</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可持续</w:t>
            </w:r>
          </w:p>
        </w:tc>
      </w:tr>
      <w:tr w:rsidR="00517E84">
        <w:trPr>
          <w:trHeight w:val="675"/>
          <w:jc w:val="center"/>
        </w:trPr>
        <w:tc>
          <w:tcPr>
            <w:tcW w:w="1291" w:type="dxa"/>
            <w:vMerge/>
            <w:tcBorders>
              <w:top w:val="nil"/>
              <w:left w:val="single" w:sz="4" w:space="0" w:color="auto"/>
              <w:bottom w:val="single" w:sz="4" w:space="0" w:color="auto"/>
              <w:right w:val="single" w:sz="4" w:space="0" w:color="auto"/>
            </w:tcBorders>
            <w:vAlign w:val="center"/>
          </w:tcPr>
          <w:p w:rsidR="00517E84" w:rsidRDefault="00517E84">
            <w:pPr>
              <w:widowControl/>
              <w:jc w:val="left"/>
              <w:rPr>
                <w:rFonts w:ascii="仿宋" w:eastAsia="仿宋" w:hAnsi="仿宋" w:cs="宋体"/>
                <w:kern w:val="0"/>
                <w:sz w:val="24"/>
              </w:rPr>
            </w:pPr>
          </w:p>
        </w:tc>
        <w:tc>
          <w:tcPr>
            <w:tcW w:w="173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4216" w:type="dxa"/>
            <w:tcBorders>
              <w:top w:val="nil"/>
              <w:left w:val="nil"/>
              <w:bottom w:val="single" w:sz="4" w:space="0" w:color="auto"/>
              <w:right w:val="single" w:sz="4" w:space="0" w:color="auto"/>
            </w:tcBorders>
            <w:shd w:val="clear" w:color="auto" w:fill="auto"/>
            <w:vAlign w:val="center"/>
          </w:tcPr>
          <w:p w:rsidR="00517E84" w:rsidRDefault="00E5360F">
            <w:pPr>
              <w:widowControl/>
              <w:jc w:val="left"/>
              <w:rPr>
                <w:rFonts w:ascii="仿宋" w:eastAsia="仿宋" w:hAnsi="仿宋" w:cs="宋体"/>
                <w:kern w:val="0"/>
                <w:sz w:val="24"/>
              </w:rPr>
            </w:pPr>
            <w:r>
              <w:rPr>
                <w:rFonts w:ascii="仿宋" w:eastAsia="仿宋" w:hAnsi="仿宋" w:cs="宋体" w:hint="eastAsia"/>
                <w:kern w:val="0"/>
                <w:sz w:val="24"/>
              </w:rPr>
              <w:t>服务对象满意度</w:t>
            </w:r>
          </w:p>
        </w:tc>
        <w:tc>
          <w:tcPr>
            <w:tcW w:w="1701"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仿宋" w:eastAsia="仿宋" w:hAnsi="仿宋" w:cs="宋体"/>
                <w:kern w:val="0"/>
                <w:sz w:val="24"/>
              </w:rPr>
            </w:pPr>
            <w:r>
              <w:rPr>
                <w:rFonts w:ascii="仿宋" w:eastAsia="仿宋" w:hAnsi="仿宋" w:cs="宋体" w:hint="eastAsia"/>
                <w:kern w:val="0"/>
                <w:sz w:val="24"/>
              </w:rPr>
              <w:t>90%</w:t>
            </w:r>
          </w:p>
        </w:tc>
      </w:tr>
    </w:tbl>
    <w:p w:rsidR="00517E84" w:rsidRDefault="00517E84">
      <w:pPr>
        <w:spacing w:line="520" w:lineRule="exact"/>
        <w:rPr>
          <w:rFonts w:ascii="仿宋" w:eastAsia="仿宋" w:hAnsi="仿宋"/>
          <w:bCs/>
          <w:sz w:val="28"/>
          <w:szCs w:val="28"/>
        </w:rPr>
      </w:pPr>
    </w:p>
    <w:p w:rsidR="00517E84" w:rsidRDefault="00E5360F">
      <w:pPr>
        <w:spacing w:line="520" w:lineRule="exact"/>
        <w:ind w:firstLineChars="200" w:firstLine="560"/>
        <w:outlineLvl w:val="1"/>
        <w:rPr>
          <w:rFonts w:ascii="仿宋" w:eastAsia="仿宋" w:hAnsi="仿宋"/>
          <w:bCs/>
          <w:sz w:val="28"/>
          <w:szCs w:val="28"/>
        </w:rPr>
      </w:pPr>
      <w:bookmarkStart w:id="6" w:name="_Toc517708012"/>
      <w:r>
        <w:rPr>
          <w:rFonts w:ascii="仿宋" w:eastAsia="仿宋" w:hAnsi="仿宋" w:hint="eastAsia"/>
          <w:bCs/>
          <w:sz w:val="28"/>
          <w:szCs w:val="28"/>
        </w:rPr>
        <w:t>（三）经费来源及支出情况</w:t>
      </w:r>
      <w:bookmarkEnd w:id="5"/>
      <w:bookmarkEnd w:id="6"/>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2017年项目支出预算1533.75万元，其中一般公共预算财政拨款收入376.75万元、上年结转财政拨款1157万元。项目支出预算具体情况：灾后水利设施建设项目1157万元，汤逊湖泵站运行管理补助及应急疏捞项目139.10</w:t>
      </w:r>
      <w:r w:rsidR="00497CCF">
        <w:rPr>
          <w:rFonts w:ascii="仿宋" w:eastAsia="仿宋" w:hAnsi="仿宋" w:hint="eastAsia"/>
          <w:bCs/>
          <w:sz w:val="28"/>
          <w:szCs w:val="28"/>
        </w:rPr>
        <w:t>万元、</w:t>
      </w:r>
      <w:r>
        <w:rPr>
          <w:rFonts w:ascii="仿宋" w:eastAsia="仿宋" w:hAnsi="仿宋" w:hint="eastAsia"/>
          <w:bCs/>
          <w:sz w:val="28"/>
          <w:szCs w:val="28"/>
        </w:rPr>
        <w:t>站容改造项目150</w:t>
      </w:r>
      <w:r w:rsidR="00497CCF">
        <w:rPr>
          <w:rFonts w:ascii="仿宋" w:eastAsia="仿宋" w:hAnsi="仿宋" w:hint="eastAsia"/>
          <w:bCs/>
          <w:sz w:val="28"/>
          <w:szCs w:val="28"/>
        </w:rPr>
        <w:t>万元、</w:t>
      </w:r>
      <w:r>
        <w:rPr>
          <w:rFonts w:ascii="仿宋" w:eastAsia="仿宋" w:hAnsi="仿宋" w:hint="eastAsia"/>
          <w:bCs/>
          <w:sz w:val="28"/>
          <w:szCs w:val="28"/>
        </w:rPr>
        <w:t>运行维护项目18.75</w:t>
      </w:r>
      <w:r w:rsidR="00497CCF">
        <w:rPr>
          <w:rFonts w:ascii="仿宋" w:eastAsia="仿宋" w:hAnsi="仿宋" w:hint="eastAsia"/>
          <w:bCs/>
          <w:sz w:val="28"/>
          <w:szCs w:val="28"/>
        </w:rPr>
        <w:t>万元，</w:t>
      </w:r>
      <w:r>
        <w:rPr>
          <w:rFonts w:ascii="仿宋" w:eastAsia="仿宋" w:hAnsi="仿宋" w:hint="eastAsia"/>
          <w:bCs/>
          <w:sz w:val="28"/>
          <w:szCs w:val="28"/>
        </w:rPr>
        <w:t>排涝电费项目68.90万元。</w:t>
      </w:r>
    </w:p>
    <w:p w:rsidR="00517E84" w:rsidRDefault="00E5360F" w:rsidP="00497CC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截止2017年12月31日，实际项目支出</w:t>
      </w:r>
      <w:r>
        <w:rPr>
          <w:rFonts w:ascii="仿宋" w:eastAsia="仿宋" w:hAnsi="仿宋"/>
          <w:bCs/>
          <w:sz w:val="28"/>
          <w:szCs w:val="28"/>
        </w:rPr>
        <w:t>1531.26</w:t>
      </w:r>
      <w:r>
        <w:rPr>
          <w:rFonts w:ascii="仿宋" w:eastAsia="仿宋" w:hAnsi="仿宋" w:hint="eastAsia"/>
          <w:bCs/>
          <w:sz w:val="28"/>
          <w:szCs w:val="28"/>
        </w:rPr>
        <w:t>万元，其中：灾后水利设施建设项目</w:t>
      </w:r>
      <w:r>
        <w:rPr>
          <w:rFonts w:ascii="仿宋" w:eastAsia="仿宋" w:hAnsi="仿宋"/>
          <w:bCs/>
          <w:sz w:val="28"/>
          <w:szCs w:val="28"/>
        </w:rPr>
        <w:t>1,156.0</w:t>
      </w:r>
      <w:r>
        <w:rPr>
          <w:rFonts w:ascii="仿宋" w:eastAsia="仿宋" w:hAnsi="仿宋" w:hint="eastAsia"/>
          <w:bCs/>
          <w:sz w:val="28"/>
          <w:szCs w:val="28"/>
        </w:rPr>
        <w:t>6万元，汤逊湖泵站运行管理补助及应急疏捞</w:t>
      </w:r>
      <w:r>
        <w:rPr>
          <w:rFonts w:ascii="仿宋" w:eastAsia="仿宋" w:hAnsi="仿宋" w:hint="eastAsia"/>
          <w:bCs/>
          <w:sz w:val="28"/>
          <w:szCs w:val="28"/>
        </w:rPr>
        <w:lastRenderedPageBreak/>
        <w:t>项目</w:t>
      </w:r>
      <w:r>
        <w:rPr>
          <w:rFonts w:ascii="仿宋" w:eastAsia="仿宋" w:hAnsi="仿宋"/>
          <w:bCs/>
          <w:sz w:val="28"/>
          <w:szCs w:val="28"/>
        </w:rPr>
        <w:t>138.75</w:t>
      </w:r>
      <w:r w:rsidR="00497CCF">
        <w:rPr>
          <w:rFonts w:ascii="仿宋" w:eastAsia="仿宋" w:hAnsi="仿宋" w:hint="eastAsia"/>
          <w:bCs/>
          <w:sz w:val="28"/>
          <w:szCs w:val="28"/>
        </w:rPr>
        <w:t>万元、</w:t>
      </w:r>
      <w:r>
        <w:rPr>
          <w:rFonts w:ascii="仿宋" w:eastAsia="仿宋" w:hAnsi="仿宋" w:hint="eastAsia"/>
          <w:bCs/>
          <w:sz w:val="28"/>
          <w:szCs w:val="28"/>
        </w:rPr>
        <w:t>站容改造项目</w:t>
      </w:r>
      <w:r>
        <w:rPr>
          <w:rFonts w:ascii="仿宋" w:eastAsia="仿宋" w:hAnsi="仿宋"/>
          <w:bCs/>
          <w:sz w:val="28"/>
          <w:szCs w:val="28"/>
        </w:rPr>
        <w:t>148.79</w:t>
      </w:r>
      <w:r>
        <w:rPr>
          <w:rFonts w:ascii="仿宋" w:eastAsia="仿宋" w:hAnsi="仿宋" w:hint="eastAsia"/>
          <w:bCs/>
          <w:sz w:val="28"/>
          <w:szCs w:val="28"/>
        </w:rPr>
        <w:t>万元、汤逊湖泵站运行维护项目18.75</w:t>
      </w:r>
      <w:r w:rsidR="00497CCF">
        <w:rPr>
          <w:rFonts w:ascii="仿宋" w:eastAsia="仿宋" w:hAnsi="仿宋" w:hint="eastAsia"/>
          <w:bCs/>
          <w:sz w:val="28"/>
          <w:szCs w:val="28"/>
        </w:rPr>
        <w:t>万元，</w:t>
      </w:r>
      <w:r>
        <w:rPr>
          <w:rFonts w:ascii="仿宋" w:eastAsia="仿宋" w:hAnsi="仿宋" w:hint="eastAsia"/>
          <w:bCs/>
          <w:sz w:val="28"/>
          <w:szCs w:val="28"/>
        </w:rPr>
        <w:t>排涝电费项目68.90万元。</w:t>
      </w:r>
    </w:p>
    <w:p w:rsidR="00517E84" w:rsidRDefault="00E5360F">
      <w:pPr>
        <w:spacing w:line="520" w:lineRule="exact"/>
        <w:ind w:firstLineChars="200" w:firstLine="562"/>
        <w:outlineLvl w:val="0"/>
        <w:rPr>
          <w:rFonts w:ascii="黑体" w:eastAsia="黑体" w:hAnsi="黑体" w:cs="黑体"/>
          <w:b/>
          <w:bCs/>
          <w:sz w:val="28"/>
          <w:szCs w:val="28"/>
        </w:rPr>
      </w:pPr>
      <w:bookmarkStart w:id="7" w:name="_Toc7334"/>
      <w:bookmarkStart w:id="8" w:name="_Toc511502532"/>
      <w:bookmarkStart w:id="9" w:name="_Toc517708013"/>
      <w:r>
        <w:rPr>
          <w:rFonts w:ascii="黑体" w:eastAsia="黑体" w:hAnsi="黑体" w:cs="黑体" w:hint="eastAsia"/>
          <w:b/>
          <w:bCs/>
          <w:sz w:val="28"/>
          <w:szCs w:val="28"/>
        </w:rPr>
        <w:t>二、绩效评价工作情况</w:t>
      </w:r>
      <w:bookmarkEnd w:id="7"/>
      <w:bookmarkEnd w:id="8"/>
      <w:bookmarkEnd w:id="9"/>
    </w:p>
    <w:p w:rsidR="00517E84" w:rsidRDefault="00E5360F">
      <w:pPr>
        <w:spacing w:line="560" w:lineRule="exact"/>
        <w:ind w:firstLineChars="200" w:firstLine="560"/>
        <w:outlineLvl w:val="1"/>
        <w:rPr>
          <w:rFonts w:ascii="仿宋" w:eastAsia="仿宋" w:hAnsi="仿宋"/>
          <w:sz w:val="28"/>
          <w:szCs w:val="28"/>
        </w:rPr>
      </w:pPr>
      <w:bookmarkStart w:id="10" w:name="_Toc19011"/>
      <w:bookmarkStart w:id="11" w:name="_Toc511502533"/>
      <w:bookmarkStart w:id="12" w:name="_Toc517708014"/>
      <w:r>
        <w:rPr>
          <w:rFonts w:ascii="仿宋" w:eastAsia="仿宋" w:hAnsi="仿宋" w:hint="eastAsia"/>
          <w:sz w:val="28"/>
          <w:szCs w:val="28"/>
        </w:rPr>
        <w:t>（一）绩效评价目的</w:t>
      </w:r>
      <w:bookmarkEnd w:id="10"/>
      <w:bookmarkEnd w:id="11"/>
      <w:bookmarkEnd w:id="12"/>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通过绩效评价，形成真实完整、数据准确、分析透彻、逻辑清晰、客观公正的绩效评价结论，为后期武汉市水务局强化预算绩效管理提供重要依据。通过绩效评价，从效率的角度分析，准确掌握</w:t>
      </w:r>
      <w:r>
        <w:rPr>
          <w:rFonts w:ascii="仿宋" w:eastAsia="仿宋" w:hAnsi="仿宋" w:hint="eastAsia"/>
          <w:bCs/>
          <w:sz w:val="28"/>
          <w:szCs w:val="28"/>
        </w:rPr>
        <w:t>项目</w:t>
      </w:r>
      <w:r>
        <w:rPr>
          <w:rFonts w:ascii="仿宋" w:eastAsia="仿宋" w:hAnsi="仿宋" w:hint="eastAsia"/>
          <w:sz w:val="28"/>
          <w:szCs w:val="28"/>
        </w:rPr>
        <w:t>的实施情况、资金使用情况，发现项目实施的困难和问题，总结项目实施的经验和教训，为项目实施的进一步深化提供有益帮助。</w:t>
      </w:r>
    </w:p>
    <w:p w:rsidR="00517E84" w:rsidRDefault="00E5360F">
      <w:pPr>
        <w:spacing w:line="520" w:lineRule="exact"/>
        <w:ind w:firstLineChars="200" w:firstLine="560"/>
        <w:outlineLvl w:val="1"/>
        <w:rPr>
          <w:rFonts w:ascii="仿宋" w:eastAsia="仿宋" w:hAnsi="仿宋"/>
          <w:sz w:val="28"/>
          <w:szCs w:val="28"/>
        </w:rPr>
      </w:pPr>
      <w:bookmarkStart w:id="13" w:name="_Toc30201"/>
      <w:bookmarkStart w:id="14" w:name="_Toc517708015"/>
      <w:bookmarkStart w:id="15" w:name="_Toc511502534"/>
      <w:r>
        <w:rPr>
          <w:rFonts w:ascii="仿宋" w:eastAsia="仿宋" w:hAnsi="仿宋" w:hint="eastAsia"/>
          <w:sz w:val="28"/>
          <w:szCs w:val="28"/>
        </w:rPr>
        <w:t>（二）绩效评价框架</w:t>
      </w:r>
      <w:bookmarkEnd w:id="13"/>
      <w:bookmarkEnd w:id="14"/>
      <w:bookmarkEnd w:id="15"/>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绩效评价框架是开展绩效评价的核心，绩效评价框架包括各级指标名称、权重、指标解释、指标说明、目标值、绩效标准和评分细则等方面。</w:t>
      </w:r>
      <w:r>
        <w:rPr>
          <w:rFonts w:ascii="仿宋" w:eastAsia="仿宋" w:hAnsi="仿宋" w:hint="eastAsia"/>
          <w:bCs/>
          <w:sz w:val="28"/>
          <w:szCs w:val="28"/>
        </w:rPr>
        <w:t>项目</w:t>
      </w:r>
      <w:r>
        <w:rPr>
          <w:rFonts w:ascii="仿宋" w:eastAsia="仿宋" w:hAnsi="仿宋" w:hint="eastAsia"/>
          <w:sz w:val="28"/>
          <w:szCs w:val="28"/>
        </w:rPr>
        <w:t>绩效评价指标体系的设计参照《湖北省财政支出绩效评价指标体系框架》，投入和过程在此框架的基础上结合项目的特点适当进行完善，产出和效果根据项目特点进行了细化。</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1.评价指标</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第一步，采用层次分析法，建立评价指标库。绩效评价将指标分为投入、过程、产出和效果四个层次，最终形成一个由多个相互联系的指标组成的多层次指标体系。</w:t>
      </w:r>
      <w:r>
        <w:rPr>
          <w:rFonts w:ascii="仿宋" w:eastAsia="仿宋" w:hAnsi="仿宋"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-3400425</wp:posOffset>
                </wp:positionH>
                <wp:positionV relativeFrom="paragraph">
                  <wp:posOffset>152400</wp:posOffset>
                </wp:positionV>
                <wp:extent cx="76200" cy="3962400"/>
                <wp:effectExtent l="4445" t="4445" r="14605" b="14605"/>
                <wp:wrapNone/>
                <wp:docPr id="2" name="AutoShape 48"/>
                <wp:cNvGraphicFramePr/>
                <a:graphic xmlns:a="http://schemas.openxmlformats.org/drawingml/2006/main">
                  <a:graphicData uri="http://schemas.microsoft.com/office/word/2010/wordprocessingShape">
                    <wps:wsp>
                      <wps:cNvSpPr/>
                      <wps:spPr>
                        <a:xfrm>
                          <a:off x="0" y="0"/>
                          <a:ext cx="76200" cy="3962400"/>
                        </a:xfrm>
                        <a:prstGeom prst="leftBrace">
                          <a:avLst>
                            <a:gd name="adj1" fmla="val 433333"/>
                            <a:gd name="adj2" fmla="val 5162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type w14:anchorId="521246C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8" o:spid="_x0000_s1026" type="#_x0000_t87" style="position:absolute;left:0;text-align:left;margin-left:-267.75pt;margin-top:12pt;width:6pt;height:31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" adj=",11150"/>
            </w:pict>
          </mc:Fallback>
        </mc:AlternateContent>
      </w:r>
      <w:r>
        <w:rPr>
          <w:rFonts w:ascii="仿宋" w:eastAsia="仿宋" w:hAnsi="仿宋" w:hint="eastAsia"/>
          <w:sz w:val="28"/>
          <w:szCs w:val="28"/>
        </w:rPr>
        <w:t>第二步，采用专家调查法，确定评价指标。评价指标体系建立后，邀请专家对指标库中的指标进行分析、权衡、补充、选择，最后确定评价指标。在此基础上最终形成项目绩效评价指标体系，设置了4个一级指标、11个二级指标、19个三级指标。</w:t>
      </w:r>
    </w:p>
    <w:p w:rsidR="00517E84" w:rsidRDefault="00E5360F">
      <w:pPr>
        <w:tabs>
          <w:tab w:val="center" w:pos="4549"/>
        </w:tabs>
        <w:spacing w:line="360" w:lineRule="auto"/>
        <w:ind w:firstLineChars="250" w:firstLine="700"/>
        <w:jc w:val="left"/>
        <w:rPr>
          <w:rFonts w:ascii="仿宋" w:eastAsia="仿宋" w:hAnsi="仿宋"/>
          <w:sz w:val="28"/>
          <w:szCs w:val="28"/>
        </w:rPr>
      </w:pPr>
      <w:r>
        <w:rPr>
          <w:rFonts w:ascii="宋体" w:hAnsi="宋体" w:hint="eastAsia"/>
          <w:sz w:val="28"/>
          <w:szCs w:val="28"/>
        </w:rPr>
        <w:t>2.</w:t>
      </w:r>
      <w:r>
        <w:rPr>
          <w:rFonts w:ascii="仿宋" w:eastAsia="仿宋" w:hAnsi="仿宋" w:hint="eastAsia"/>
          <w:sz w:val="28"/>
          <w:szCs w:val="28"/>
        </w:rPr>
        <w:t>权重</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根据本项目特点及各指标维度、类别考评内容，采用德尔菲法进行权重估计，并参考了评价领导小组及项目实施单位的意见，最终确定各个指标相对于项目总体绩效的权重分值。最终确定项目投入权重值占</w:t>
      </w:r>
      <w:r>
        <w:rPr>
          <w:rFonts w:ascii="仿宋" w:eastAsia="仿宋" w:hAnsi="仿宋" w:hint="eastAsia"/>
          <w:sz w:val="28"/>
          <w:szCs w:val="28"/>
        </w:rPr>
        <w:lastRenderedPageBreak/>
        <w:t>12%，项目过程权重值占28%，项目产出权重值占30%，项目效益权重值占30%。</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3.指标说明</w:t>
      </w:r>
    </w:p>
    <w:p w:rsidR="00517E84" w:rsidRDefault="00E5360F">
      <w:pPr>
        <w:spacing w:line="520" w:lineRule="exact"/>
        <w:ind w:firstLineChars="200" w:firstLine="560"/>
        <w:rPr>
          <w:rFonts w:ascii="仿宋" w:eastAsia="仿宋" w:hAnsi="仿宋"/>
          <w:sz w:val="28"/>
          <w:szCs w:val="28"/>
        </w:rPr>
      </w:pPr>
      <w:bookmarkStart w:id="16" w:name="_1460038687"/>
      <w:bookmarkStart w:id="17" w:name="_1460038659"/>
      <w:bookmarkStart w:id="18" w:name="_1460038714"/>
      <w:bookmarkStart w:id="19" w:name="_1460038655"/>
      <w:bookmarkStart w:id="20" w:name="_1460181815"/>
      <w:bookmarkStart w:id="21" w:name="_1460038730"/>
      <w:bookmarkEnd w:id="16"/>
      <w:bookmarkEnd w:id="17"/>
      <w:bookmarkEnd w:id="18"/>
      <w:bookmarkEnd w:id="19"/>
      <w:bookmarkEnd w:id="20"/>
      <w:bookmarkEnd w:id="21"/>
      <w:r>
        <w:rPr>
          <w:rFonts w:ascii="仿宋" w:eastAsia="仿宋" w:hAnsi="仿宋" w:hint="eastAsia"/>
          <w:bCs/>
          <w:sz w:val="28"/>
          <w:szCs w:val="28"/>
        </w:rPr>
        <w:t>项目</w:t>
      </w:r>
      <w:r>
        <w:rPr>
          <w:rFonts w:ascii="仿宋" w:eastAsia="仿宋" w:hAnsi="仿宋" w:hint="eastAsia"/>
          <w:sz w:val="28"/>
          <w:szCs w:val="28"/>
        </w:rPr>
        <w:t>绩效评价指标体系指标说明确定了三级指标评分的要点，指出定性指标的评价核心、定量指标实现值的计算公式、数据口径，说明了19个三级指标设置的目的，指导三级指标评价的方向。</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4.指标目标值</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指标目标值是绩效评价指标的尺度，既要反映同类项目的先进水平，又要符合项目的实际绩效水平。</w:t>
      </w:r>
      <w:r>
        <w:rPr>
          <w:rFonts w:ascii="仿宋" w:eastAsia="仿宋" w:hAnsi="仿宋" w:hint="eastAsia"/>
          <w:bCs/>
          <w:sz w:val="28"/>
          <w:szCs w:val="28"/>
        </w:rPr>
        <w:t>项目</w:t>
      </w:r>
      <w:r>
        <w:rPr>
          <w:rFonts w:ascii="仿宋" w:eastAsia="仿宋" w:hAnsi="仿宋" w:hint="eastAsia"/>
          <w:sz w:val="28"/>
          <w:szCs w:val="28"/>
        </w:rPr>
        <w:t>绩效评价指标目标值根据项目计划目标确定。</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5.绩效标准</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财政项目资金绩效评价，是以结果为导向的财政支出管理模式，绩效评价标准主要有计划标准、行业标准、历史标准、其他标准等，结合项目的特点，确定此次绩效评价指标标准为行业标准和计划标准。项目管理和财务管理指标以国家财务相关法律法规为绩效评价标准，产出和效果指标采用计划指标值作为绩效评价标准。</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6.评分细则</w:t>
      </w:r>
    </w:p>
    <w:p w:rsidR="00517E84" w:rsidRDefault="00E5360F">
      <w:pPr>
        <w:spacing w:line="520" w:lineRule="exact"/>
        <w:ind w:firstLineChars="200" w:firstLine="560"/>
        <w:rPr>
          <w:rFonts w:ascii="仿宋" w:eastAsia="仿宋" w:hAnsi="仿宋"/>
          <w:sz w:val="28"/>
          <w:szCs w:val="28"/>
        </w:rPr>
      </w:pPr>
      <w:bookmarkStart w:id="22" w:name="_Toc511502536"/>
      <w:bookmarkStart w:id="23" w:name="_Toc517708016"/>
      <w:r>
        <w:rPr>
          <w:rFonts w:ascii="仿宋" w:eastAsia="仿宋" w:hAnsi="仿宋" w:hint="eastAsia"/>
          <w:sz w:val="28"/>
          <w:szCs w:val="28"/>
        </w:rPr>
        <w:t>项目绩效评价指标体系中三级指标评分是在指标说明评分要点的基础上进行的，定性指标按评分要点分段量化得分，定量指标按量化值直接评分。通过问卷调查和实地考察情况，项目组根据对项目的实施进展情况的了解，对每个指标进行独立评价和打分，在此基础上形成项目的整体得分。</w:t>
      </w:r>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根据《湖北省财政项目资金绩效评价操作指南》中财政项目绩效评价结果级别评定相关要求，绩效评价总分值100分，90分以上为优秀、80-90分为良好，60-80分为中等，60分以下为差。</w:t>
      </w:r>
    </w:p>
    <w:p w:rsidR="00517E84" w:rsidRDefault="00E5360F">
      <w:pPr>
        <w:spacing w:line="520" w:lineRule="exact"/>
        <w:ind w:firstLineChars="200" w:firstLine="560"/>
        <w:outlineLvl w:val="0"/>
        <w:rPr>
          <w:rFonts w:ascii="黑体" w:eastAsia="黑体" w:hAnsi="黑体" w:cs="黑体"/>
          <w:sz w:val="28"/>
          <w:szCs w:val="28"/>
        </w:rPr>
      </w:pPr>
      <w:r>
        <w:rPr>
          <w:rFonts w:ascii="黑体" w:eastAsia="黑体" w:hAnsi="黑体" w:cs="黑体" w:hint="eastAsia"/>
          <w:sz w:val="28"/>
          <w:szCs w:val="28"/>
        </w:rPr>
        <w:t>三、绩效分析及评价结论</w:t>
      </w:r>
      <w:bookmarkEnd w:id="22"/>
      <w:bookmarkEnd w:id="23"/>
    </w:p>
    <w:p w:rsidR="00517E84" w:rsidRDefault="00E5360F">
      <w:pPr>
        <w:spacing w:line="520" w:lineRule="exact"/>
        <w:ind w:firstLineChars="200" w:firstLine="560"/>
        <w:outlineLvl w:val="1"/>
        <w:rPr>
          <w:rFonts w:ascii="仿宋" w:eastAsia="仿宋" w:hAnsi="仿宋"/>
          <w:sz w:val="28"/>
          <w:szCs w:val="28"/>
        </w:rPr>
      </w:pPr>
      <w:bookmarkStart w:id="24" w:name="_Toc8923"/>
      <w:bookmarkStart w:id="25" w:name="_Toc511502539"/>
      <w:bookmarkStart w:id="26" w:name="_Toc517708017"/>
      <w:r>
        <w:rPr>
          <w:rFonts w:ascii="仿宋" w:eastAsia="仿宋" w:hAnsi="仿宋" w:hint="eastAsia"/>
          <w:sz w:val="28"/>
          <w:szCs w:val="28"/>
        </w:rPr>
        <w:lastRenderedPageBreak/>
        <w:t>（一）</w:t>
      </w:r>
      <w:bookmarkEnd w:id="24"/>
      <w:r>
        <w:rPr>
          <w:rFonts w:ascii="仿宋" w:eastAsia="仿宋" w:hAnsi="仿宋" w:hint="eastAsia"/>
          <w:sz w:val="28"/>
          <w:szCs w:val="28"/>
        </w:rPr>
        <w:t>绩效分析及绩效指标完成情况</w:t>
      </w:r>
      <w:bookmarkEnd w:id="25"/>
      <w:bookmarkEnd w:id="26"/>
    </w:p>
    <w:p w:rsidR="00517E84" w:rsidRDefault="00E5360F">
      <w:pPr>
        <w:spacing w:line="520" w:lineRule="exact"/>
        <w:outlineLvl w:val="2"/>
        <w:rPr>
          <w:rFonts w:ascii="仿宋" w:eastAsia="仿宋" w:hAnsi="仿宋"/>
          <w:bCs/>
          <w:sz w:val="28"/>
          <w:szCs w:val="28"/>
        </w:rPr>
      </w:pPr>
      <w:r>
        <w:rPr>
          <w:rFonts w:ascii="仿宋" w:eastAsia="仿宋" w:hAnsi="仿宋" w:hint="eastAsia"/>
          <w:bCs/>
          <w:sz w:val="28"/>
          <w:szCs w:val="28"/>
        </w:rPr>
        <w:t xml:space="preserve">    </w:t>
      </w:r>
      <w:bookmarkStart w:id="27" w:name="_Toc517708018"/>
      <w:r>
        <w:rPr>
          <w:rFonts w:ascii="仿宋" w:eastAsia="仿宋" w:hAnsi="仿宋" w:hint="eastAsia"/>
          <w:bCs/>
          <w:sz w:val="28"/>
          <w:szCs w:val="28"/>
        </w:rPr>
        <w:t>1.项目投入</w:t>
      </w:r>
      <w:bookmarkEnd w:id="27"/>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本项指标总分为12分，实际得分11分，得分率91.67%，项目投入具体评价如下：</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（1）依据充分性</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w:t>
      </w:r>
      <w:r w:rsidR="00497CCF">
        <w:rPr>
          <w:rFonts w:ascii="仿宋" w:eastAsia="仿宋" w:hAnsi="仿宋" w:hint="eastAsia"/>
          <w:bCs/>
          <w:sz w:val="28"/>
          <w:szCs w:val="28"/>
        </w:rPr>
        <w:t>年</w:t>
      </w:r>
      <w:r>
        <w:rPr>
          <w:rFonts w:ascii="仿宋" w:eastAsia="仿宋" w:hAnsi="仿宋" w:hint="eastAsia"/>
          <w:bCs/>
          <w:sz w:val="28"/>
          <w:szCs w:val="28"/>
        </w:rPr>
        <w:t>水利工程运</w:t>
      </w:r>
      <w:r w:rsidR="00497CCF">
        <w:rPr>
          <w:rFonts w:ascii="仿宋" w:eastAsia="仿宋" w:hAnsi="仿宋" w:hint="eastAsia"/>
          <w:bCs/>
          <w:sz w:val="28"/>
          <w:szCs w:val="28"/>
        </w:rPr>
        <w:t>行与维护的相关项目（汤逊湖泵站运行管理补助及应急疏捞项目、泵站排涝电费项目、站容改造项目、</w:t>
      </w:r>
      <w:r>
        <w:rPr>
          <w:rFonts w:ascii="仿宋" w:eastAsia="仿宋" w:hAnsi="仿宋" w:hint="eastAsia"/>
          <w:bCs/>
          <w:sz w:val="28"/>
          <w:szCs w:val="28"/>
        </w:rPr>
        <w:t>运行维护项目）立项依据充分，立项申请理由符合规定，项目申报的主要内容完整。</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运行管理补助及应急疏捞项目旨在满足汤逊湖泵站日常运行管理开支需要，维系泵站汛期抢险、抢修等各项工作的正常开展与衔接以及保证进水港来水畅通，是落实武汉市水务局责任划分要求，确保安全正常运行的必要保障。站容改造项目的实施的目的在于改善工作环境，建设绿色泵站，为泵站管理和职工出行提供便利。运行维护项目依据“关于印发《水利工程管理单位定岗标准（试点）》和《水利工程维修养护费定额标准（试点）》的通知”（水办[2004]307号）有关GB/T泵站技术管理规程要求设立，为确保安全正常运行提供重要保障。排涝电费保证排涝电费投入，以保障汤逊湖水系内居民、企业生活生产用水安全和白沙洲水厂取水安全。</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（2）目标合理性</w:t>
      </w:r>
    </w:p>
    <w:p w:rsidR="00517E84" w:rsidRDefault="00497CC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项目绩效目标：一是保证</w:t>
      </w:r>
      <w:r w:rsidR="00E5360F">
        <w:rPr>
          <w:rFonts w:ascii="仿宋" w:eastAsia="仿宋" w:hAnsi="仿宋" w:hint="eastAsia"/>
          <w:bCs/>
          <w:sz w:val="28"/>
          <w:szCs w:val="28"/>
        </w:rPr>
        <w:t>泵站安全正常运行；二是改善泵站生活环境，加强泵站综合管理建设；三是保证汛期机组正常抽排运行，确保汛期机组及设备完好率100%，顺利完成排涝任务，保障汤逊湖水系水位安全，改善辖区内居民生活环境；四是保证汛期电能供应正常，机组正常运行抽排。绩效目标符合国家相关法律法规、国民经济发展规划和党委政府决策；与项目实施单位职责密切相关；项目预期产出效益和效果符合正常的业绩水平，与单位实际情况是否相符。</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（3）指标明确性</w:t>
      </w:r>
    </w:p>
    <w:p w:rsidR="00517E84" w:rsidRDefault="00E5360F">
      <w:pPr>
        <w:spacing w:line="520" w:lineRule="exact"/>
        <w:rPr>
          <w:rFonts w:ascii="仿宋" w:eastAsia="仿宋" w:hAnsi="仿宋"/>
          <w:bCs/>
          <w:sz w:val="28"/>
          <w:szCs w:val="28"/>
        </w:rPr>
      </w:pPr>
      <w:r>
        <w:rPr>
          <w:rFonts w:ascii="仿宋" w:eastAsia="仿宋" w:hAnsi="仿宋" w:hint="eastAsia"/>
          <w:bCs/>
          <w:sz w:val="28"/>
          <w:szCs w:val="28"/>
        </w:rPr>
        <w:t xml:space="preserve">    项目设立了年度绩效指标，指标设置较为科学</w:t>
      </w:r>
      <w:r w:rsidR="003E64C5">
        <w:rPr>
          <w:rFonts w:ascii="仿宋" w:eastAsia="仿宋" w:hAnsi="仿宋" w:hint="eastAsia"/>
          <w:bCs/>
          <w:sz w:val="28"/>
          <w:szCs w:val="28"/>
        </w:rPr>
        <w:t>。</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（4）资金执行率</w:t>
      </w:r>
    </w:p>
    <w:p w:rsidR="00517E84" w:rsidRDefault="00497CCF" w:rsidP="00497CCF">
      <w:pPr>
        <w:spacing w:line="520" w:lineRule="exact"/>
        <w:rPr>
          <w:rFonts w:ascii="仿宋" w:eastAsia="仿宋" w:hAnsi="仿宋"/>
          <w:bCs/>
          <w:sz w:val="28"/>
          <w:szCs w:val="28"/>
        </w:rPr>
      </w:pPr>
      <w:r>
        <w:rPr>
          <w:rFonts w:ascii="仿宋" w:eastAsia="仿宋" w:hAnsi="仿宋" w:hint="eastAsia"/>
          <w:bCs/>
          <w:sz w:val="28"/>
          <w:szCs w:val="28"/>
        </w:rPr>
        <w:t xml:space="preserve">     </w:t>
      </w:r>
      <w:r w:rsidR="00E5360F">
        <w:rPr>
          <w:rFonts w:ascii="仿宋" w:eastAsia="仿宋" w:hAnsi="仿宋" w:hint="eastAsia"/>
          <w:bCs/>
          <w:sz w:val="28"/>
          <w:szCs w:val="28"/>
        </w:rPr>
        <w:t>2017年项目支出预算</w:t>
      </w:r>
      <w:r w:rsidR="00E5360F">
        <w:rPr>
          <w:rFonts w:ascii="仿宋" w:eastAsia="仿宋" w:hAnsi="仿宋"/>
          <w:bCs/>
          <w:sz w:val="28"/>
          <w:szCs w:val="28"/>
        </w:rPr>
        <w:t>1533.75</w:t>
      </w:r>
      <w:r w:rsidR="00E5360F">
        <w:rPr>
          <w:rFonts w:ascii="仿宋" w:eastAsia="仿宋" w:hAnsi="仿宋" w:hint="eastAsia"/>
          <w:bCs/>
          <w:sz w:val="28"/>
          <w:szCs w:val="28"/>
        </w:rPr>
        <w:t>万元，同口径预算实际支出</w:t>
      </w:r>
      <w:r w:rsidR="00E5360F">
        <w:rPr>
          <w:rFonts w:ascii="仿宋" w:eastAsia="仿宋" w:hAnsi="仿宋"/>
          <w:bCs/>
          <w:sz w:val="28"/>
          <w:szCs w:val="28"/>
        </w:rPr>
        <w:t>1531.26</w:t>
      </w:r>
      <w:r w:rsidR="00E5360F">
        <w:rPr>
          <w:rFonts w:ascii="仿宋" w:eastAsia="仿宋" w:hAnsi="仿宋" w:hint="eastAsia"/>
          <w:bCs/>
          <w:sz w:val="28"/>
          <w:szCs w:val="28"/>
        </w:rPr>
        <w:t>万元，项目预算执行率为</w:t>
      </w:r>
      <w:r w:rsidR="00E5360F">
        <w:rPr>
          <w:rFonts w:ascii="仿宋" w:eastAsia="仿宋" w:hAnsi="仿宋"/>
          <w:bCs/>
          <w:sz w:val="28"/>
          <w:szCs w:val="28"/>
        </w:rPr>
        <w:t>99.84%</w:t>
      </w:r>
      <w:r w:rsidR="00E5360F">
        <w:rPr>
          <w:rFonts w:ascii="仿宋" w:eastAsia="仿宋" w:hAnsi="仿宋" w:hint="eastAsia"/>
          <w:bCs/>
          <w:sz w:val="28"/>
          <w:szCs w:val="28"/>
        </w:rPr>
        <w:t>，具体情况如下表：</w:t>
      </w:r>
    </w:p>
    <w:tbl>
      <w:tblPr>
        <w:tblpPr w:leftFromText="180" w:rightFromText="180" w:vertAnchor="text" w:horzAnchor="margin" w:tblpXSpec="center" w:tblpY="358"/>
        <w:tblW w:w="8613" w:type="dxa"/>
        <w:tblLayout w:type="fixed"/>
        <w:tblLook w:val="04A0" w:firstRow="1" w:lastRow="0" w:firstColumn="1" w:lastColumn="0" w:noHBand="0" w:noVBand="1"/>
      </w:tblPr>
      <w:tblGrid>
        <w:gridCol w:w="1080"/>
        <w:gridCol w:w="3046"/>
        <w:gridCol w:w="1843"/>
        <w:gridCol w:w="1426"/>
        <w:gridCol w:w="1218"/>
      </w:tblGrid>
      <w:tr w:rsidR="00517E84">
        <w:trPr>
          <w:trHeight w:val="465"/>
          <w:tblHead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序号</w:t>
            </w:r>
          </w:p>
        </w:tc>
        <w:tc>
          <w:tcPr>
            <w:tcW w:w="3046"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项目名称</w:t>
            </w:r>
          </w:p>
        </w:tc>
        <w:tc>
          <w:tcPr>
            <w:tcW w:w="1843"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预算数</w:t>
            </w:r>
          </w:p>
        </w:tc>
        <w:tc>
          <w:tcPr>
            <w:tcW w:w="1426"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执行数</w:t>
            </w:r>
          </w:p>
        </w:tc>
        <w:tc>
          <w:tcPr>
            <w:tcW w:w="1218"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执行率</w:t>
            </w:r>
          </w:p>
        </w:tc>
      </w:tr>
      <w:tr w:rsidR="00517E84">
        <w:trPr>
          <w:trHeight w:val="465"/>
        </w:trPr>
        <w:tc>
          <w:tcPr>
            <w:tcW w:w="1080"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c>
          <w:tcPr>
            <w:tcW w:w="304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灾后水利设施建设</w:t>
            </w:r>
          </w:p>
        </w:tc>
        <w:tc>
          <w:tcPr>
            <w:tcW w:w="1843"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1157</w:t>
            </w:r>
          </w:p>
        </w:tc>
        <w:tc>
          <w:tcPr>
            <w:tcW w:w="142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1156.07</w:t>
            </w:r>
          </w:p>
        </w:tc>
        <w:tc>
          <w:tcPr>
            <w:tcW w:w="1218"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99.92%</w:t>
            </w:r>
          </w:p>
        </w:tc>
      </w:tr>
      <w:tr w:rsidR="00517E84">
        <w:trPr>
          <w:trHeight w:val="465"/>
        </w:trPr>
        <w:tc>
          <w:tcPr>
            <w:tcW w:w="1080"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304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武汉市汤逊湖泵站运行管理补助及应急疏捞</w:t>
            </w:r>
          </w:p>
        </w:tc>
        <w:tc>
          <w:tcPr>
            <w:tcW w:w="1843"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139.1</w:t>
            </w:r>
          </w:p>
        </w:tc>
        <w:tc>
          <w:tcPr>
            <w:tcW w:w="142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138.75</w:t>
            </w:r>
          </w:p>
        </w:tc>
        <w:tc>
          <w:tcPr>
            <w:tcW w:w="1218"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99.75%</w:t>
            </w:r>
          </w:p>
        </w:tc>
      </w:tr>
      <w:tr w:rsidR="00517E84">
        <w:trPr>
          <w:trHeight w:val="465"/>
        </w:trPr>
        <w:tc>
          <w:tcPr>
            <w:tcW w:w="1080"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304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2017后汤逊湖泵站站容改造</w:t>
            </w:r>
          </w:p>
        </w:tc>
        <w:tc>
          <w:tcPr>
            <w:tcW w:w="1843"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150</w:t>
            </w:r>
          </w:p>
        </w:tc>
        <w:tc>
          <w:tcPr>
            <w:tcW w:w="142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148.79</w:t>
            </w:r>
          </w:p>
        </w:tc>
        <w:tc>
          <w:tcPr>
            <w:tcW w:w="1218"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99.19%</w:t>
            </w:r>
          </w:p>
        </w:tc>
      </w:tr>
      <w:tr w:rsidR="00517E84">
        <w:trPr>
          <w:trHeight w:val="465"/>
        </w:trPr>
        <w:tc>
          <w:tcPr>
            <w:tcW w:w="1080"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304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汤逊湖泵站排涝电费</w:t>
            </w:r>
          </w:p>
        </w:tc>
        <w:tc>
          <w:tcPr>
            <w:tcW w:w="1843"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68.9</w:t>
            </w:r>
          </w:p>
        </w:tc>
        <w:tc>
          <w:tcPr>
            <w:tcW w:w="142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68.90</w:t>
            </w:r>
          </w:p>
        </w:tc>
        <w:tc>
          <w:tcPr>
            <w:tcW w:w="1218"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100.00%</w:t>
            </w:r>
          </w:p>
        </w:tc>
      </w:tr>
      <w:tr w:rsidR="00517E84">
        <w:trPr>
          <w:trHeight w:val="465"/>
        </w:trPr>
        <w:tc>
          <w:tcPr>
            <w:tcW w:w="1080"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304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泵站运行维护</w:t>
            </w:r>
          </w:p>
        </w:tc>
        <w:tc>
          <w:tcPr>
            <w:tcW w:w="1843"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18.75</w:t>
            </w:r>
          </w:p>
        </w:tc>
        <w:tc>
          <w:tcPr>
            <w:tcW w:w="1426" w:type="dxa"/>
            <w:tcBorders>
              <w:top w:val="nil"/>
              <w:left w:val="nil"/>
              <w:bottom w:val="single" w:sz="4" w:space="0" w:color="000000"/>
              <w:right w:val="single" w:sz="4" w:space="0" w:color="000000"/>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18.75</w:t>
            </w:r>
          </w:p>
        </w:tc>
        <w:tc>
          <w:tcPr>
            <w:tcW w:w="1218" w:type="dxa"/>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100.00%</w:t>
            </w:r>
          </w:p>
        </w:tc>
      </w:tr>
      <w:tr w:rsidR="00517E84">
        <w:trPr>
          <w:trHeight w:val="540"/>
        </w:trPr>
        <w:tc>
          <w:tcPr>
            <w:tcW w:w="4126" w:type="dxa"/>
            <w:gridSpan w:val="2"/>
            <w:tcBorders>
              <w:top w:val="nil"/>
              <w:left w:val="single" w:sz="4" w:space="0" w:color="auto"/>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合计</w:t>
            </w:r>
          </w:p>
        </w:tc>
        <w:tc>
          <w:tcPr>
            <w:tcW w:w="1843"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1533.75</w:t>
            </w:r>
          </w:p>
        </w:tc>
        <w:tc>
          <w:tcPr>
            <w:tcW w:w="1426" w:type="dxa"/>
            <w:tcBorders>
              <w:top w:val="single" w:sz="4" w:space="0" w:color="auto"/>
              <w:left w:val="nil"/>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1531.26</w:t>
            </w:r>
          </w:p>
        </w:tc>
        <w:tc>
          <w:tcPr>
            <w:tcW w:w="1218" w:type="dxa"/>
            <w:tcBorders>
              <w:top w:val="nil"/>
              <w:left w:val="nil"/>
              <w:bottom w:val="single" w:sz="4" w:space="0" w:color="auto"/>
              <w:right w:val="single" w:sz="4" w:space="0" w:color="auto"/>
            </w:tcBorders>
            <w:shd w:val="clear" w:color="auto" w:fill="auto"/>
            <w:vAlign w:val="center"/>
          </w:tcPr>
          <w:p w:rsidR="00517E84" w:rsidRDefault="00E5360F">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99.84%</w:t>
            </w:r>
          </w:p>
        </w:tc>
      </w:tr>
    </w:tbl>
    <w:p w:rsidR="00517E84" w:rsidRDefault="00517E84" w:rsidP="001A27E4">
      <w:pPr>
        <w:spacing w:line="520" w:lineRule="exact"/>
        <w:outlineLvl w:val="2"/>
        <w:rPr>
          <w:rFonts w:ascii="仿宋" w:eastAsia="仿宋" w:hAnsi="仿宋" w:hint="eastAsia"/>
          <w:bCs/>
          <w:sz w:val="28"/>
          <w:szCs w:val="28"/>
        </w:rPr>
      </w:pPr>
      <w:bookmarkStart w:id="28" w:name="_Toc517708019"/>
    </w:p>
    <w:p w:rsidR="00517E84" w:rsidRDefault="00E5360F">
      <w:pPr>
        <w:spacing w:line="520" w:lineRule="exact"/>
        <w:ind w:firstLineChars="200" w:firstLine="560"/>
        <w:outlineLvl w:val="2"/>
        <w:rPr>
          <w:rFonts w:ascii="仿宋" w:eastAsia="仿宋" w:hAnsi="仿宋"/>
          <w:bCs/>
          <w:sz w:val="28"/>
          <w:szCs w:val="28"/>
        </w:rPr>
      </w:pPr>
      <w:r>
        <w:rPr>
          <w:rFonts w:ascii="仿宋" w:eastAsia="仿宋" w:hAnsi="仿宋" w:hint="eastAsia"/>
          <w:bCs/>
          <w:sz w:val="28"/>
          <w:szCs w:val="28"/>
        </w:rPr>
        <w:t>2.项目过程</w:t>
      </w:r>
      <w:bookmarkEnd w:id="28"/>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资金使用按照计划执行，符合国家财经法规和财务管理制度以及有关专项资管理办法的规定。项目资金拨付与使用有完整的审批流程和手续，独立核算，账簿齐全，账务处理较为规范，并制定了相应的财务监控机制。项目管理所需人员、设备设施等条件落实到位，项目建设的施工单位和相关单位的确定办理了政府采购等相关手续。项目基本建设程序管理、项目工程质量管理、项目档案管理制度健全且得到执行, 项目单位基本建设管理程序落实到位。本项指标总分为28分，实际得25分，得分率89.29%,项目过程具体评价如下：</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（1）财务管理制度健全性</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为了规范和加强项目的财务管理，严格执行项目资金计划，控制项目基本建设投资规模，降低工程造价，提高投资的使用效益，根据</w:t>
      </w:r>
      <w:r>
        <w:rPr>
          <w:rFonts w:ascii="仿宋" w:eastAsia="仿宋" w:hAnsi="仿宋" w:hint="eastAsia"/>
          <w:sz w:val="28"/>
          <w:szCs w:val="28"/>
        </w:rPr>
        <w:t>《中华人民共和国会计法》、《事业单位会计准则》和《事业单位会计制度》</w:t>
      </w:r>
      <w:r>
        <w:rPr>
          <w:rFonts w:ascii="仿宋" w:eastAsia="仿宋" w:hAnsi="仿宋" w:hint="eastAsia"/>
          <w:sz w:val="28"/>
          <w:szCs w:val="28"/>
        </w:rPr>
        <w:lastRenderedPageBreak/>
        <w:t>等法律、法规，</w:t>
      </w:r>
      <w:r>
        <w:rPr>
          <w:rFonts w:ascii="仿宋" w:eastAsia="仿宋" w:hAnsi="仿宋" w:hint="eastAsia"/>
          <w:bCs/>
          <w:sz w:val="28"/>
          <w:szCs w:val="28"/>
        </w:rPr>
        <w:t>制定和印发了《武汉市汤逊湖泵站管理处管理制度》，财务管理制度部分从财务预算管理、财务监督、资产管理等方面进行了要求。</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（2）资金使用合规性</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项目实际支出与项目计划投入资金的用途相符，符合《中华人民共和国会计法》、《中华人民共和国预算法》和《</w:t>
      </w:r>
      <w:r>
        <w:rPr>
          <w:rFonts w:ascii="仿宋" w:eastAsia="仿宋" w:hAnsi="仿宋" w:hint="eastAsia"/>
          <w:sz w:val="28"/>
          <w:szCs w:val="28"/>
        </w:rPr>
        <w:t>事业</w:t>
      </w:r>
      <w:r>
        <w:rPr>
          <w:rFonts w:ascii="仿宋" w:eastAsia="仿宋" w:hAnsi="仿宋" w:hint="eastAsia"/>
          <w:bCs/>
          <w:sz w:val="28"/>
          <w:szCs w:val="28"/>
        </w:rPr>
        <w:t>单位会计制度》的规定；资金的拨付有基本的审批程序和手续；符合项目预算批复或合同规定的用途；不存在超标列支相关费用；做到了专款专用，不存在截留、挤占、挪用、虚列支出。</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（3）资金单独核算</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项目资金的会计核算严格执行了财政部颁发的《基本建设财务管理若干规定》，单独核算，按要求设置会计科目，建立了账目。</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（4）财务信息质量</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预算执行和财务管理比较规范，会计资料真实，会计处理和决算报告编制符合预算法、</w:t>
      </w:r>
      <w:bookmarkStart w:id="29" w:name="_GoBack"/>
      <w:bookmarkEnd w:id="29"/>
      <w:r>
        <w:rPr>
          <w:rFonts w:ascii="仿宋" w:eastAsia="仿宋" w:hAnsi="仿宋" w:hint="eastAsia"/>
          <w:bCs/>
          <w:sz w:val="28"/>
          <w:szCs w:val="28"/>
        </w:rPr>
        <w:t>相关会计准则和会计制度的规定。项目资金通过财政直接直付、授权支付或其它方式进行结算。资金拨付使用严格按照程序执行，用款申请单经用款部门和经办人提出申请，并注明用款理由和相关支出附件，经业务负责人、财务负责人、分管领导签字后通过财政直接支付或授权支付，以保证财政资金使用的安全。单位系统内部有比较完整的财务管理规定和制度，主管人员熟悉相关预算资金管理的法规；账簿及原始凭证齐全，账实相符，手续齐备，会计账务保存完整，能够比较全面反映部门资金使用的财务信息和实际状况。切实做到了账簿完整、帐实相符、帐表相符、会计核算清楚规范。</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（5）项目组织实施</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制定了《武汉市汤逊湖泵站管理处管理制度》，其中工程项目建设管理制度从项目风险管理、工程协调管理、建筑工程施工管理、安装工</w:t>
      </w:r>
      <w:r>
        <w:rPr>
          <w:rFonts w:ascii="仿宋" w:eastAsia="仿宋" w:hAnsi="仿宋" w:hint="eastAsia"/>
          <w:bCs/>
          <w:sz w:val="28"/>
          <w:szCs w:val="28"/>
        </w:rPr>
        <w:lastRenderedPageBreak/>
        <w:t>程管理等方面进行了详细的要求，为项目的组织实施提供了制度保障。项目建设单位按照要求，科学合理配置了项目管理人员，从技术力量上保证了项目的顺利开展。供应商的确定办理了政府采购等相关手续。</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（6）基本建设程序管理</w:t>
      </w:r>
    </w:p>
    <w:p w:rsidR="003E64C5"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水利工程运行与维护等项目均实行公开招投标、邀标或询价等政府采购程序，与中标施工单位、监理单位签订施工合同、监理合同，施工单位按合同约定及时开工，并严格执行了安全生产制度，监理单位基本履行了相应的监理职责，工程完工后办理了工程结算手续和竣工验收手续。项目实施符合基本建设程序和国家法律法规的规定，建设资金的拨付符合有关管理制度的规定，实现了项目预期目标。</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（7）项目工程质量管理</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建设工程质量管理贯穿项目建设的全过程，项目计划、报批、立项、论证、招标、评审、施工、审计工作验收各环节环环相扣，管理科学有序，施工环节按图作业，符合工程规范。施工单位建设资质达到投标文件中要求的资质等级；项目验收手续完备，符合行业质量标准。</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（8）项目档案管理</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制定了工程项目档案管理制度，并严格执行了档案管理要求，注重对原始资料在实施过程的收集和整理，分门别类组卷，档案资料做到真实、齐全、有效。工程资料的管理执行《建设工程文件归档整理规范》等规定</w:t>
      </w:r>
      <w:r w:rsidR="003E64C5">
        <w:rPr>
          <w:rFonts w:ascii="仿宋" w:eastAsia="仿宋" w:hAnsi="仿宋" w:hint="eastAsia"/>
          <w:bCs/>
          <w:sz w:val="28"/>
          <w:szCs w:val="28"/>
        </w:rPr>
        <w:t>，按照要求进行工程文件的移交，工程资料的形成与工程进度基本同步。</w:t>
      </w:r>
      <w:r w:rsidR="003E64C5">
        <w:rPr>
          <w:rFonts w:ascii="仿宋" w:eastAsia="仿宋" w:hAnsi="仿宋"/>
          <w:bCs/>
          <w:sz w:val="28"/>
          <w:szCs w:val="28"/>
        </w:rPr>
        <w:t xml:space="preserve"> </w:t>
      </w:r>
    </w:p>
    <w:p w:rsidR="00517E84" w:rsidRDefault="00E5360F">
      <w:pPr>
        <w:spacing w:line="520" w:lineRule="exact"/>
        <w:ind w:firstLineChars="200" w:firstLine="560"/>
        <w:outlineLvl w:val="2"/>
        <w:rPr>
          <w:rFonts w:ascii="仿宋" w:eastAsia="仿宋" w:hAnsi="仿宋"/>
          <w:bCs/>
          <w:sz w:val="28"/>
          <w:szCs w:val="28"/>
        </w:rPr>
      </w:pPr>
      <w:bookmarkStart w:id="30" w:name="_Toc517708020"/>
      <w:r>
        <w:rPr>
          <w:rFonts w:ascii="仿宋" w:eastAsia="仿宋" w:hAnsi="仿宋" w:hint="eastAsia"/>
          <w:bCs/>
          <w:sz w:val="28"/>
          <w:szCs w:val="28"/>
        </w:rPr>
        <w:t>3.项目产出</w:t>
      </w:r>
      <w:bookmarkEnd w:id="30"/>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项目产出良好，项目在预定时间内及时实施完成，质量达标率达到预期。本项指标总分为30分，实际得分达到26分，得分率86.67%,项目产出具体评价如下：</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（1）维修改造工程完成率</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2017年维修改造工程完成具体情况如下：</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灾后更新改造工程概算总投资1974.08万元，2017年资金到位1570万元，其主要内容是改造3台主水泵、更新两台主电机；更新主变、站用变压器各一台；励磁柜、高压柜、低压柜等电气设备更新，完善风机、供水等辅助设备；更新改造自动化监控系统等。根据设备类型项目共划分为高低压柜及电缆、主变压器、主电机、励磁柜、信息化等五个设备标段，并于2017年上半年顺利完成各标段招标工作。</w:t>
      </w:r>
    </w:p>
    <w:p w:rsidR="003E64C5"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年站容改造、泵站运行维护和运行管理补助及应急疏捞项目已全部完成。2017年汛前维修工作主要围绕泵房主水泵机组及其控制系统和变电站主变及其控制系统展开。检查主水泵叶轮外壳气蚀情况，测量叶轮与外壳之间的间隙，更换了已损外止水填料函，完成了2、9号主水泵叶轮外壳更换；测量了主电机导轴瓦间隙，检查及恢复了主电机润滑油油位，修复主电机漏油情况；检查维护水冷却系统；检查更换通风机；检查维护高压柜及励磁柜；完成主变压器及刀闸的常规防腐防潮保养，完成主变控制柜常规维护保养。2017年3月29日对管理处共178项机设备进行静态验收，设备静态验收合格，3月30日进行动态验收，对15台主机组逐一进行试运行。组织人员对泵站进水河道的杂草杂物进行了全面疏捞，确保河道水流畅通和主机组运行安全。</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（2）完成及时率</w:t>
      </w:r>
    </w:p>
    <w:p w:rsidR="003E64C5"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除灾后更新改造工程外，其他项目都于2017年底完成竣工验收，实现了设备完好率100%的绩效管理目标。</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（3）质量达标率</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通过查阅相关质量控制轨迹，项目分部工程验收记录符合设计要求和规定，各验收记录中保证项目的质量情况也符合设计要求和规定，经监理单位、勘测设计单位和主管单位验收，工程达到设计标准。通过对相关设备进行静态验收检查和动态验收检查，设备完好率100%。2017</w:t>
      </w:r>
      <w:r>
        <w:rPr>
          <w:rFonts w:ascii="仿宋" w:eastAsia="仿宋" w:hAnsi="仿宋" w:hint="eastAsia"/>
          <w:bCs/>
          <w:sz w:val="28"/>
          <w:szCs w:val="28"/>
        </w:rPr>
        <w:lastRenderedPageBreak/>
        <w:t>年主汛期间，设备连续运行104天，累计开机8619.3台时，累计排水21144.56万方，有效调控了汤逊湖水系水位，排水泵站安全运行率达100%。</w:t>
      </w:r>
    </w:p>
    <w:p w:rsidR="00517E84" w:rsidRDefault="00E5360F">
      <w:pPr>
        <w:spacing w:line="520" w:lineRule="exact"/>
        <w:ind w:firstLineChars="200" w:firstLine="560"/>
        <w:outlineLvl w:val="2"/>
        <w:rPr>
          <w:rFonts w:ascii="仿宋" w:eastAsia="仿宋" w:hAnsi="仿宋"/>
          <w:bCs/>
          <w:sz w:val="28"/>
          <w:szCs w:val="28"/>
        </w:rPr>
      </w:pPr>
      <w:bookmarkStart w:id="31" w:name="_Toc517708021"/>
      <w:r>
        <w:rPr>
          <w:rFonts w:ascii="仿宋" w:eastAsia="仿宋" w:hAnsi="仿宋" w:hint="eastAsia"/>
          <w:bCs/>
          <w:sz w:val="28"/>
          <w:szCs w:val="28"/>
        </w:rPr>
        <w:t>4.项目效果</w:t>
      </w:r>
      <w:bookmarkEnd w:id="31"/>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的实施完善了城市排渍、排涝能力，改善了居民生活环境，有力的保障了排区范围内广大人民群众的生命财产安全，促时了当地工农业的发展，在防洪减灾方面起到了十分重要的作用，发挥了巨大的社会效益。本项指标总分为30分，实际得分28分，得分率93.33%,项目效果具体评价如下：</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（1）排渍（涝）能力</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通过项目的实施，提高了排渍能力和信息化程度，提升了排渍、排涝能力。减少了涝渍灾害，安定了排区内人民的生产生活，避免涝渍灾期发生各种事故，为排区经济的可持续发展、促进社会繁荣和现代化建设创造了良好的社会效益。长流中下游流域汛期干流水位高，持续时间长，汤逊湖泵站在汛期的满负荷运转，为洪山、武昌、江夏部分区域的防洪安全起到了巨大的作用。为控制和降低该水系内汤逊湖、青菱湖、黄家湖等11个大小湖泊的水位，确保武汉市武昌区、洪山区和江夏区工农业生产、城市建设和人民生命财产安全起到了不可替代的作用。</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汤逊湖水系大部分耕地位于湖系水网地区，地势地洼，汛期长江水位上涨，内湖渍水超过湖泊调蓄能力又不能自排造成大面积渍涝灾害，对水系内人民的生活和工矿企业、重要交通设施等带来威胁，通过项目的实施，有效避免了渍涝灾害的发生。汤逊湖泵站年开机时间7000台小时左右，平均年排水量21000万立方米，保证了排区农业高产稳定和人民群众生产生活安全，促进了排区的经济发展。随着武汉市经济的发展与扩张，汤逊湖泵站作为汤逊湖水系唯一的排水通道，其作用会越来越明显。</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（2）生活环境改善程度</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泵站经过几年的环境整治，站容站貌有了较大的改观，站区道路、绿化、环境得到极大改善，解决了围墙垮塌、歪斜所造成的安全隐患，起到了安全生产、美化环境的作用；新的食堂和停车场的启用，给单位人员创造良好的环境，更好的服务于防汛排涝工作，提高排涝效益。促进和带动了经济的发展。项目实施后增强了排渍、排涝能力，解决了雨季城区积水深、退水久的现状，美化了周边居民的生活环境。同时项目的实施还可避免涝渍灾害导致的生态恶化，减少传染病的传播等，从而改善了排区环境。</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（3）可持续影响</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泵站在排水系统中是雨污水传送的安全纽带，是不可或缺的组成部分，主要用于排除城市雨水，控制好泵站及周边水位，防止道路积水，确保群众生活和出行安全。运行维护的泵站对城区的社会和经济发展意义重大，一旦泵站不能运行，当发生渍涝灾害时将会对人民的生命财产安全、企业经营和交通运行造成重大的损失和阻碍。</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通过维修改造，基本解决了机电设备老化和建筑物破损失修的问题，维修改造完成后提升了建设物、设备的完好率和安全运行率，极大的提高了泵站的安全运行可靠性。项目的实施恢复或提高了排渍标准，为防洪安全、供水安全提供了强有力的保障。项目的实施，使泵站具备了电脑监控、保护等信息化手段，大大提升了运行安全，减少了运行维护工作量和及费用，提高了工程管理效益和管理水平。（4）投诉件办理满意率</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2017年无投诉事件。</w:t>
      </w:r>
    </w:p>
    <w:p w:rsidR="00517E84" w:rsidRDefault="00E5360F">
      <w:pPr>
        <w:spacing w:beforeLines="50" w:before="156" w:afterLines="50" w:after="156" w:line="520" w:lineRule="exact"/>
        <w:ind w:firstLineChars="200" w:firstLine="560"/>
        <w:outlineLvl w:val="1"/>
        <w:rPr>
          <w:rFonts w:ascii="仿宋" w:eastAsia="仿宋" w:hAnsi="仿宋"/>
          <w:sz w:val="28"/>
          <w:szCs w:val="28"/>
        </w:rPr>
      </w:pPr>
      <w:bookmarkStart w:id="32" w:name="_Toc517708022"/>
      <w:r>
        <w:rPr>
          <w:rFonts w:ascii="仿宋" w:eastAsia="仿宋" w:hAnsi="仿宋" w:hint="eastAsia"/>
          <w:sz w:val="28"/>
          <w:szCs w:val="28"/>
        </w:rPr>
        <w:t>（二）评价结论</w:t>
      </w:r>
      <w:bookmarkEnd w:id="32"/>
    </w:p>
    <w:p w:rsidR="00517E84" w:rsidRDefault="00E5360F">
      <w:pPr>
        <w:spacing w:beforeLines="50" w:before="156" w:afterLines="50" w:after="156" w:line="520" w:lineRule="exact"/>
        <w:ind w:firstLineChars="200" w:firstLine="560"/>
        <w:outlineLvl w:val="2"/>
        <w:rPr>
          <w:rFonts w:ascii="仿宋" w:eastAsia="仿宋" w:hAnsi="仿宋"/>
          <w:sz w:val="28"/>
          <w:szCs w:val="28"/>
        </w:rPr>
      </w:pPr>
      <w:bookmarkStart w:id="33" w:name="_Toc517708023"/>
      <w:r>
        <w:rPr>
          <w:rFonts w:ascii="仿宋" w:eastAsia="仿宋" w:hAnsi="仿宋" w:hint="eastAsia"/>
          <w:sz w:val="28"/>
          <w:szCs w:val="28"/>
        </w:rPr>
        <w:t>1.综合评分结果</w:t>
      </w:r>
      <w:bookmarkEnd w:id="33"/>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276"/>
        <w:gridCol w:w="1417"/>
        <w:gridCol w:w="1701"/>
        <w:gridCol w:w="1418"/>
      </w:tblGrid>
      <w:tr w:rsidR="00517E84">
        <w:trPr>
          <w:trHeight w:hRule="exact" w:val="648"/>
          <w:tblHeader/>
        </w:trPr>
        <w:tc>
          <w:tcPr>
            <w:tcW w:w="1418" w:type="dxa"/>
            <w:vAlign w:val="center"/>
          </w:tcPr>
          <w:p w:rsidR="00517E84" w:rsidRDefault="00E5360F">
            <w:pPr>
              <w:widowControl/>
              <w:jc w:val="center"/>
              <w:rPr>
                <w:rFonts w:ascii="仿宋" w:eastAsia="仿宋" w:hAnsi="仿宋" w:cs="仿宋"/>
                <w:b/>
                <w:kern w:val="0"/>
                <w:szCs w:val="21"/>
              </w:rPr>
            </w:pPr>
            <w:r>
              <w:rPr>
                <w:rFonts w:ascii="仿宋" w:eastAsia="仿宋" w:hAnsi="仿宋" w:cs="仿宋" w:hint="eastAsia"/>
                <w:b/>
                <w:kern w:val="0"/>
                <w:szCs w:val="21"/>
              </w:rPr>
              <w:lastRenderedPageBreak/>
              <w:t>评价指标</w:t>
            </w:r>
          </w:p>
        </w:tc>
        <w:tc>
          <w:tcPr>
            <w:tcW w:w="992" w:type="dxa"/>
            <w:vAlign w:val="center"/>
          </w:tcPr>
          <w:p w:rsidR="00517E84" w:rsidRDefault="00E5360F">
            <w:pPr>
              <w:widowControl/>
              <w:jc w:val="center"/>
              <w:rPr>
                <w:rFonts w:ascii="仿宋" w:eastAsia="仿宋" w:hAnsi="仿宋" w:cs="仿宋"/>
                <w:b/>
                <w:kern w:val="0"/>
                <w:szCs w:val="21"/>
              </w:rPr>
            </w:pPr>
            <w:r>
              <w:rPr>
                <w:rFonts w:ascii="仿宋" w:eastAsia="仿宋" w:hAnsi="仿宋" w:cs="仿宋" w:hint="eastAsia"/>
                <w:b/>
                <w:kern w:val="0"/>
                <w:szCs w:val="21"/>
              </w:rPr>
              <w:t>权重</w:t>
            </w:r>
          </w:p>
        </w:tc>
        <w:tc>
          <w:tcPr>
            <w:tcW w:w="1276" w:type="dxa"/>
            <w:vAlign w:val="center"/>
          </w:tcPr>
          <w:p w:rsidR="00517E84" w:rsidRDefault="00E5360F">
            <w:pPr>
              <w:widowControl/>
              <w:jc w:val="center"/>
              <w:rPr>
                <w:rFonts w:ascii="仿宋" w:eastAsia="仿宋" w:hAnsi="仿宋" w:cs="仿宋"/>
                <w:b/>
                <w:kern w:val="0"/>
                <w:szCs w:val="21"/>
              </w:rPr>
            </w:pPr>
            <w:r>
              <w:rPr>
                <w:rFonts w:ascii="仿宋" w:eastAsia="仿宋" w:hAnsi="仿宋" w:cs="仿宋" w:hint="eastAsia"/>
                <w:b/>
                <w:kern w:val="0"/>
                <w:szCs w:val="21"/>
              </w:rPr>
              <w:t>评级分值</w:t>
            </w:r>
          </w:p>
        </w:tc>
        <w:tc>
          <w:tcPr>
            <w:tcW w:w="1417" w:type="dxa"/>
            <w:vAlign w:val="center"/>
          </w:tcPr>
          <w:p w:rsidR="00517E84" w:rsidRDefault="00E5360F">
            <w:pPr>
              <w:widowControl/>
              <w:jc w:val="center"/>
              <w:rPr>
                <w:rFonts w:ascii="仿宋" w:eastAsia="仿宋" w:hAnsi="仿宋" w:cs="仿宋"/>
                <w:b/>
                <w:kern w:val="0"/>
                <w:szCs w:val="21"/>
              </w:rPr>
            </w:pPr>
            <w:r>
              <w:rPr>
                <w:rFonts w:ascii="仿宋" w:eastAsia="仿宋" w:hAnsi="仿宋" w:cs="仿宋" w:hint="eastAsia"/>
                <w:b/>
                <w:kern w:val="0"/>
                <w:szCs w:val="21"/>
              </w:rPr>
              <w:t>项目得分</w:t>
            </w:r>
          </w:p>
        </w:tc>
        <w:tc>
          <w:tcPr>
            <w:tcW w:w="1701" w:type="dxa"/>
            <w:vAlign w:val="center"/>
          </w:tcPr>
          <w:p w:rsidR="00517E84" w:rsidRDefault="00E5360F">
            <w:pPr>
              <w:widowControl/>
              <w:jc w:val="center"/>
              <w:rPr>
                <w:rFonts w:ascii="仿宋" w:eastAsia="仿宋" w:hAnsi="仿宋" w:cs="仿宋"/>
                <w:b/>
                <w:kern w:val="0"/>
                <w:szCs w:val="21"/>
              </w:rPr>
            </w:pPr>
            <w:r>
              <w:rPr>
                <w:rFonts w:ascii="仿宋" w:eastAsia="仿宋" w:hAnsi="仿宋" w:cs="仿宋" w:hint="eastAsia"/>
                <w:b/>
                <w:kern w:val="0"/>
                <w:szCs w:val="21"/>
              </w:rPr>
              <w:t>得分率</w:t>
            </w:r>
          </w:p>
        </w:tc>
        <w:tc>
          <w:tcPr>
            <w:tcW w:w="1418" w:type="dxa"/>
            <w:vAlign w:val="center"/>
          </w:tcPr>
          <w:p w:rsidR="00517E84" w:rsidRDefault="00E5360F">
            <w:pPr>
              <w:jc w:val="center"/>
              <w:rPr>
                <w:rFonts w:ascii="仿宋" w:eastAsia="仿宋" w:hAnsi="仿宋" w:cs="仿宋"/>
                <w:b/>
                <w:kern w:val="0"/>
                <w:szCs w:val="21"/>
              </w:rPr>
            </w:pPr>
            <w:r>
              <w:rPr>
                <w:rFonts w:ascii="仿宋" w:eastAsia="仿宋" w:hAnsi="仿宋" w:cs="仿宋" w:hint="eastAsia"/>
                <w:b/>
                <w:kern w:val="0"/>
                <w:szCs w:val="21"/>
              </w:rPr>
              <w:t>评价级别</w:t>
            </w:r>
          </w:p>
        </w:tc>
      </w:tr>
      <w:tr w:rsidR="00517E84">
        <w:trPr>
          <w:trHeight w:hRule="exact" w:val="436"/>
        </w:trPr>
        <w:tc>
          <w:tcPr>
            <w:tcW w:w="1418"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项目投入</w:t>
            </w:r>
          </w:p>
        </w:tc>
        <w:tc>
          <w:tcPr>
            <w:tcW w:w="992"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12%</w:t>
            </w:r>
          </w:p>
        </w:tc>
        <w:tc>
          <w:tcPr>
            <w:tcW w:w="1276"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12</w:t>
            </w:r>
          </w:p>
        </w:tc>
        <w:tc>
          <w:tcPr>
            <w:tcW w:w="1417"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11</w:t>
            </w:r>
          </w:p>
        </w:tc>
        <w:tc>
          <w:tcPr>
            <w:tcW w:w="1701"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91.67%</w:t>
            </w:r>
          </w:p>
        </w:tc>
        <w:tc>
          <w:tcPr>
            <w:tcW w:w="1418" w:type="dxa"/>
            <w:vAlign w:val="center"/>
          </w:tcPr>
          <w:p w:rsidR="00517E84" w:rsidRDefault="00E5360F">
            <w:pPr>
              <w:jc w:val="center"/>
              <w:rPr>
                <w:rFonts w:ascii="仿宋" w:eastAsia="仿宋" w:hAnsi="仿宋" w:cs="仿宋"/>
                <w:kern w:val="0"/>
                <w:szCs w:val="21"/>
              </w:rPr>
            </w:pPr>
            <w:r>
              <w:rPr>
                <w:rFonts w:ascii="仿宋" w:eastAsia="仿宋" w:hAnsi="仿宋" w:cs="仿宋" w:hint="eastAsia"/>
                <w:kern w:val="0"/>
                <w:szCs w:val="21"/>
              </w:rPr>
              <w:t>优</w:t>
            </w:r>
          </w:p>
        </w:tc>
      </w:tr>
      <w:tr w:rsidR="00517E84">
        <w:trPr>
          <w:trHeight w:hRule="exact" w:val="414"/>
        </w:trPr>
        <w:tc>
          <w:tcPr>
            <w:tcW w:w="1418"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项目过程</w:t>
            </w:r>
          </w:p>
        </w:tc>
        <w:tc>
          <w:tcPr>
            <w:tcW w:w="992"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28%</w:t>
            </w:r>
          </w:p>
        </w:tc>
        <w:tc>
          <w:tcPr>
            <w:tcW w:w="1276"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28</w:t>
            </w:r>
          </w:p>
        </w:tc>
        <w:tc>
          <w:tcPr>
            <w:tcW w:w="1417"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25</w:t>
            </w:r>
          </w:p>
        </w:tc>
        <w:tc>
          <w:tcPr>
            <w:tcW w:w="1701"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89.29%</w:t>
            </w:r>
          </w:p>
        </w:tc>
        <w:tc>
          <w:tcPr>
            <w:tcW w:w="1418" w:type="dxa"/>
            <w:vAlign w:val="center"/>
          </w:tcPr>
          <w:p w:rsidR="00517E84" w:rsidRDefault="00E5360F">
            <w:pPr>
              <w:jc w:val="center"/>
              <w:rPr>
                <w:rFonts w:ascii="仿宋" w:eastAsia="仿宋" w:hAnsi="仿宋" w:cs="仿宋"/>
                <w:kern w:val="0"/>
                <w:szCs w:val="21"/>
              </w:rPr>
            </w:pPr>
            <w:r>
              <w:rPr>
                <w:rFonts w:ascii="仿宋" w:eastAsia="仿宋" w:hAnsi="仿宋" w:cs="仿宋" w:hint="eastAsia"/>
                <w:kern w:val="0"/>
                <w:szCs w:val="21"/>
              </w:rPr>
              <w:t>良</w:t>
            </w:r>
          </w:p>
        </w:tc>
      </w:tr>
      <w:tr w:rsidR="00517E84">
        <w:trPr>
          <w:trHeight w:hRule="exact" w:val="421"/>
        </w:trPr>
        <w:tc>
          <w:tcPr>
            <w:tcW w:w="1418"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项目产出</w:t>
            </w:r>
          </w:p>
        </w:tc>
        <w:tc>
          <w:tcPr>
            <w:tcW w:w="992"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276"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417"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26</w:t>
            </w:r>
          </w:p>
        </w:tc>
        <w:tc>
          <w:tcPr>
            <w:tcW w:w="1701"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86.67%</w:t>
            </w:r>
          </w:p>
        </w:tc>
        <w:tc>
          <w:tcPr>
            <w:tcW w:w="1418" w:type="dxa"/>
            <w:vAlign w:val="center"/>
          </w:tcPr>
          <w:p w:rsidR="00517E84" w:rsidRDefault="00E5360F">
            <w:pPr>
              <w:jc w:val="center"/>
              <w:rPr>
                <w:rFonts w:ascii="仿宋" w:eastAsia="仿宋" w:hAnsi="仿宋" w:cs="仿宋"/>
                <w:kern w:val="0"/>
                <w:szCs w:val="21"/>
              </w:rPr>
            </w:pPr>
            <w:r>
              <w:rPr>
                <w:rFonts w:ascii="仿宋" w:eastAsia="仿宋" w:hAnsi="仿宋" w:cs="仿宋" w:hint="eastAsia"/>
                <w:kern w:val="0"/>
                <w:szCs w:val="21"/>
              </w:rPr>
              <w:t>良</w:t>
            </w:r>
          </w:p>
        </w:tc>
      </w:tr>
      <w:tr w:rsidR="00517E84">
        <w:trPr>
          <w:trHeight w:hRule="exact" w:val="427"/>
        </w:trPr>
        <w:tc>
          <w:tcPr>
            <w:tcW w:w="1418"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项目效果</w:t>
            </w:r>
          </w:p>
        </w:tc>
        <w:tc>
          <w:tcPr>
            <w:tcW w:w="992"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276"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417"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28</w:t>
            </w:r>
          </w:p>
        </w:tc>
        <w:tc>
          <w:tcPr>
            <w:tcW w:w="1701"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93.33%</w:t>
            </w:r>
          </w:p>
        </w:tc>
        <w:tc>
          <w:tcPr>
            <w:tcW w:w="1418" w:type="dxa"/>
            <w:vAlign w:val="center"/>
          </w:tcPr>
          <w:p w:rsidR="00517E84" w:rsidRDefault="00E5360F">
            <w:pPr>
              <w:jc w:val="center"/>
              <w:rPr>
                <w:rFonts w:ascii="仿宋" w:eastAsia="仿宋" w:hAnsi="仿宋" w:cs="仿宋"/>
                <w:kern w:val="0"/>
                <w:szCs w:val="21"/>
              </w:rPr>
            </w:pPr>
            <w:r>
              <w:rPr>
                <w:rFonts w:ascii="仿宋" w:eastAsia="仿宋" w:hAnsi="仿宋" w:cs="仿宋" w:hint="eastAsia"/>
                <w:kern w:val="0"/>
                <w:szCs w:val="21"/>
              </w:rPr>
              <w:t>优</w:t>
            </w:r>
          </w:p>
        </w:tc>
      </w:tr>
      <w:tr w:rsidR="00517E84">
        <w:trPr>
          <w:trHeight w:hRule="exact" w:val="454"/>
        </w:trPr>
        <w:tc>
          <w:tcPr>
            <w:tcW w:w="1418"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综合绩效</w:t>
            </w:r>
          </w:p>
        </w:tc>
        <w:tc>
          <w:tcPr>
            <w:tcW w:w="992"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100%</w:t>
            </w:r>
          </w:p>
        </w:tc>
        <w:tc>
          <w:tcPr>
            <w:tcW w:w="1276"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100</w:t>
            </w:r>
          </w:p>
        </w:tc>
        <w:tc>
          <w:tcPr>
            <w:tcW w:w="1417"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90</w:t>
            </w:r>
          </w:p>
        </w:tc>
        <w:tc>
          <w:tcPr>
            <w:tcW w:w="1701" w:type="dxa"/>
            <w:vAlign w:val="center"/>
          </w:tcPr>
          <w:p w:rsidR="00517E84" w:rsidRDefault="00E5360F">
            <w:pPr>
              <w:widowControl/>
              <w:jc w:val="center"/>
              <w:rPr>
                <w:rFonts w:ascii="仿宋" w:eastAsia="仿宋" w:hAnsi="仿宋" w:cs="仿宋"/>
                <w:kern w:val="0"/>
                <w:szCs w:val="21"/>
              </w:rPr>
            </w:pPr>
            <w:r>
              <w:rPr>
                <w:rFonts w:ascii="仿宋" w:eastAsia="仿宋" w:hAnsi="仿宋" w:cs="仿宋" w:hint="eastAsia"/>
                <w:kern w:val="0"/>
                <w:szCs w:val="21"/>
              </w:rPr>
              <w:t>90%</w:t>
            </w:r>
          </w:p>
        </w:tc>
        <w:tc>
          <w:tcPr>
            <w:tcW w:w="1418" w:type="dxa"/>
            <w:vAlign w:val="center"/>
          </w:tcPr>
          <w:p w:rsidR="00517E84" w:rsidRDefault="00E5360F">
            <w:pPr>
              <w:jc w:val="center"/>
              <w:rPr>
                <w:rFonts w:ascii="仿宋" w:eastAsia="仿宋" w:hAnsi="仿宋" w:cs="仿宋"/>
                <w:kern w:val="0"/>
                <w:szCs w:val="21"/>
              </w:rPr>
            </w:pPr>
            <w:r>
              <w:rPr>
                <w:rFonts w:ascii="仿宋" w:eastAsia="仿宋" w:hAnsi="仿宋" w:cs="仿宋" w:hint="eastAsia"/>
                <w:kern w:val="0"/>
                <w:szCs w:val="21"/>
              </w:rPr>
              <w:t>优</w:t>
            </w:r>
          </w:p>
        </w:tc>
      </w:tr>
    </w:tbl>
    <w:p w:rsidR="003E64C5" w:rsidRDefault="00E5360F">
      <w:pPr>
        <w:spacing w:line="520" w:lineRule="exact"/>
        <w:ind w:firstLineChars="200" w:firstLine="560"/>
        <w:rPr>
          <w:rFonts w:ascii="仿宋" w:eastAsia="仿宋" w:hAnsi="仿宋"/>
          <w:sz w:val="28"/>
          <w:szCs w:val="28"/>
        </w:rPr>
      </w:pPr>
      <w:r>
        <w:rPr>
          <w:rFonts w:ascii="仿宋" w:eastAsia="仿宋" w:hAnsi="仿宋" w:hint="eastAsia"/>
          <w:bCs/>
          <w:sz w:val="28"/>
          <w:szCs w:val="28"/>
        </w:rPr>
        <w:t>从投入来看，项目立项依据充分，立项申请符合规定，实施方案内容完整，编制科学、实事求是，绩效目标合理，项目资金按计划投入到位，资金拨付及时</w:t>
      </w:r>
      <w:r>
        <w:rPr>
          <w:rFonts w:ascii="仿宋" w:eastAsia="仿宋" w:hAnsi="仿宋" w:hint="eastAsia"/>
          <w:sz w:val="28"/>
          <w:szCs w:val="28"/>
        </w:rPr>
        <w:t>。</w:t>
      </w:r>
    </w:p>
    <w:p w:rsidR="003E64C5"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过程来看，项目资金使用按照计划执行，符合国家财经法规和财务管理制度以及有关专项资管理办法的规定。项目资金拨付与使用有基本的审批流程和手续。项目管理所需人员、设备设施等条件落实到位，项目基本建设程序管理、项目工程质量管理健全且得到执行。</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从产出来看，项目产出良好，项目在预定时间内及时实施完成，质量达标率达到预期。</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从效果来看，项目的实施提升了城市排渍、排涝功能，改善了居民生活环境，有利于形成与城市经济发展相匹配的市政设施基础。</w:t>
      </w:r>
    </w:p>
    <w:p w:rsidR="00517E84" w:rsidRDefault="00E5360F">
      <w:pPr>
        <w:spacing w:line="520" w:lineRule="exact"/>
        <w:ind w:firstLineChars="200" w:firstLine="560"/>
        <w:outlineLvl w:val="2"/>
        <w:rPr>
          <w:rFonts w:ascii="仿宋" w:eastAsia="仿宋" w:hAnsi="仿宋"/>
          <w:bCs/>
          <w:sz w:val="28"/>
          <w:szCs w:val="28"/>
        </w:rPr>
      </w:pPr>
      <w:bookmarkStart w:id="34" w:name="_Toc517708024"/>
      <w:r>
        <w:rPr>
          <w:rFonts w:ascii="仿宋" w:eastAsia="仿宋" w:hAnsi="仿宋" w:hint="eastAsia"/>
          <w:bCs/>
          <w:sz w:val="28"/>
          <w:szCs w:val="28"/>
        </w:rPr>
        <w:t>2.主要结论</w:t>
      </w:r>
      <w:bookmarkEnd w:id="34"/>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本次项目绩效评价结果为“优”。项目符合城市发展政策，项目立项依据充分；财务和工程管理工作有效；工程建设完成情况、完成及时情况和质量达到计划目标；项目社会效益、环境效益明显。项目实施后增强了城区排渍、排涝能力，改善了居民的生活环境，有利于城区的可持续发展。</w:t>
      </w:r>
    </w:p>
    <w:p w:rsidR="00517E84" w:rsidRDefault="00E5360F">
      <w:pPr>
        <w:spacing w:line="520" w:lineRule="exact"/>
        <w:ind w:firstLineChars="200" w:firstLine="560"/>
        <w:outlineLvl w:val="0"/>
        <w:rPr>
          <w:rFonts w:ascii="黑体" w:eastAsia="黑体" w:hAnsi="黑体" w:cs="黑体"/>
          <w:sz w:val="28"/>
          <w:szCs w:val="28"/>
        </w:rPr>
      </w:pPr>
      <w:bookmarkStart w:id="35" w:name="_Toc511502547"/>
      <w:bookmarkStart w:id="36" w:name="_Toc7491"/>
      <w:bookmarkStart w:id="37" w:name="_Toc517708025"/>
      <w:r>
        <w:rPr>
          <w:rFonts w:ascii="黑体" w:eastAsia="黑体" w:hAnsi="黑体" w:cs="黑体" w:hint="eastAsia"/>
          <w:sz w:val="28"/>
          <w:szCs w:val="28"/>
        </w:rPr>
        <w:t>四、主要经验及做法、存在的问题</w:t>
      </w:r>
      <w:bookmarkEnd w:id="35"/>
      <w:bookmarkEnd w:id="36"/>
      <w:bookmarkEnd w:id="37"/>
    </w:p>
    <w:p w:rsidR="00517E84" w:rsidRDefault="00E5360F">
      <w:pPr>
        <w:spacing w:line="520" w:lineRule="exact"/>
        <w:ind w:firstLineChars="200" w:firstLine="560"/>
        <w:outlineLvl w:val="1"/>
        <w:rPr>
          <w:rFonts w:ascii="仿宋" w:eastAsia="仿宋" w:hAnsi="仿宋"/>
          <w:bCs/>
          <w:sz w:val="28"/>
          <w:szCs w:val="28"/>
          <w:highlight w:val="yellow"/>
        </w:rPr>
      </w:pPr>
      <w:bookmarkStart w:id="38" w:name="_Toc511502548"/>
      <w:bookmarkStart w:id="39" w:name="_Toc517708026"/>
      <w:bookmarkStart w:id="40" w:name="_Toc590"/>
      <w:r>
        <w:rPr>
          <w:rFonts w:ascii="仿宋" w:eastAsia="仿宋" w:hAnsi="仿宋" w:hint="eastAsia"/>
          <w:bCs/>
          <w:sz w:val="28"/>
          <w:szCs w:val="28"/>
        </w:rPr>
        <w:t>（一）主要经验及做法</w:t>
      </w:r>
      <w:bookmarkEnd w:id="38"/>
      <w:bookmarkEnd w:id="39"/>
      <w:bookmarkEnd w:id="40"/>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1.科学部署，制定检修方案。为确保2017年顺利、安全度汛，2016</w:t>
      </w:r>
      <w:r w:rsidR="00497CCF">
        <w:rPr>
          <w:rFonts w:ascii="仿宋" w:eastAsia="仿宋" w:hAnsi="仿宋" w:hint="eastAsia"/>
          <w:bCs/>
          <w:sz w:val="28"/>
          <w:szCs w:val="28"/>
        </w:rPr>
        <w:t>年排涝工作结束后，</w:t>
      </w:r>
      <w:r>
        <w:rPr>
          <w:rFonts w:ascii="仿宋" w:eastAsia="仿宋" w:hAnsi="仿宋" w:hint="eastAsia"/>
          <w:bCs/>
          <w:sz w:val="28"/>
          <w:szCs w:val="28"/>
        </w:rPr>
        <w:t>立即组织泵站各部门主要负责同志如开生产专题会</w:t>
      </w:r>
      <w:r>
        <w:rPr>
          <w:rFonts w:ascii="仿宋" w:eastAsia="仿宋" w:hAnsi="仿宋" w:hint="eastAsia"/>
          <w:bCs/>
          <w:sz w:val="28"/>
          <w:szCs w:val="28"/>
        </w:rPr>
        <w:lastRenderedPageBreak/>
        <w:t>议，部署2016年冬及2017年春机电设备维修工作。审定排站、变电站维修计划，安排维修物资准备工作，倒排维修时间表和试车时间点，提出“提前准备、抓紧落实、保证质量、确保安全、随时开机”的维修目标。</w:t>
      </w:r>
    </w:p>
    <w:p w:rsidR="00517E84" w:rsidRDefault="00E5360F">
      <w:pPr>
        <w:spacing w:line="520" w:lineRule="exact"/>
        <w:ind w:firstLineChars="200" w:firstLine="560"/>
        <w:rPr>
          <w:rFonts w:ascii="仿宋" w:eastAsia="仿宋" w:hAnsi="仿宋"/>
          <w:b/>
          <w:bCs/>
          <w:sz w:val="28"/>
          <w:szCs w:val="28"/>
        </w:rPr>
      </w:pPr>
      <w:r>
        <w:rPr>
          <w:rFonts w:ascii="仿宋" w:eastAsia="仿宋" w:hAnsi="仿宋" w:hint="eastAsia"/>
          <w:bCs/>
          <w:sz w:val="28"/>
          <w:szCs w:val="28"/>
        </w:rPr>
        <w:t>2.抓“防洪水、排涝水”确保安全运行。在市水务局的正确指导下，管理处周密部署，提前准备，全力以赴，圆周完成排涝任务。一是做好调度方案、应急预案，成立应急抢险突击队，开展突发事件应急演练，提前预排，腾出库容，及时抢排。二是做好信息沟通，及时传达相关文件精神，安排专人上报泵站水情、运行情况，保证做到及时上报。三是做好设备维护，机组运行中，要求值班人员履职尽责，勤巡视、勤检查，发现问题及时处理并报告。</w:t>
      </w:r>
    </w:p>
    <w:p w:rsidR="00517E84" w:rsidRDefault="00E5360F">
      <w:pPr>
        <w:spacing w:line="520" w:lineRule="exact"/>
        <w:ind w:firstLineChars="200" w:firstLine="560"/>
        <w:outlineLvl w:val="1"/>
        <w:rPr>
          <w:rFonts w:ascii="仿宋" w:eastAsia="仿宋" w:hAnsi="仿宋"/>
          <w:bCs/>
          <w:sz w:val="28"/>
          <w:szCs w:val="28"/>
        </w:rPr>
      </w:pPr>
      <w:bookmarkStart w:id="41" w:name="_Toc517708027"/>
      <w:r>
        <w:rPr>
          <w:rFonts w:ascii="仿宋" w:eastAsia="仿宋" w:hAnsi="仿宋" w:hint="eastAsia"/>
          <w:bCs/>
          <w:sz w:val="28"/>
          <w:szCs w:val="28"/>
        </w:rPr>
        <w:t>（二）主要问题</w:t>
      </w:r>
      <w:bookmarkEnd w:id="41"/>
    </w:p>
    <w:p w:rsidR="00517E84" w:rsidRDefault="00E5360F">
      <w:pPr>
        <w:spacing w:line="520" w:lineRule="exact"/>
        <w:ind w:firstLine="640"/>
        <w:rPr>
          <w:rFonts w:ascii="仿宋" w:eastAsia="仿宋" w:hAnsi="仿宋"/>
          <w:sz w:val="28"/>
          <w:szCs w:val="28"/>
        </w:rPr>
      </w:pPr>
      <w:r w:rsidRPr="00046260">
        <w:rPr>
          <w:rFonts w:ascii="仿宋" w:eastAsia="仿宋" w:hAnsi="仿宋" w:hint="eastAsia"/>
          <w:sz w:val="28"/>
          <w:szCs w:val="28"/>
        </w:rPr>
        <w:t>绩效指标设置不科学。如站容改造项目社会、经济和环境效益指标内容相同；效益性指标值设计可衡量性较差。应根据项目支出内容和绩效管理目标内容科学合理设置绩效目标。</w:t>
      </w:r>
    </w:p>
    <w:p w:rsidR="00046260" w:rsidRDefault="00046260">
      <w:pPr>
        <w:spacing w:line="520" w:lineRule="exact"/>
        <w:ind w:firstLine="640"/>
        <w:rPr>
          <w:rFonts w:ascii="仿宋" w:eastAsia="仿宋" w:hAnsi="仿宋"/>
          <w:sz w:val="28"/>
          <w:szCs w:val="28"/>
        </w:rPr>
      </w:pPr>
    </w:p>
    <w:p w:rsidR="00517E84" w:rsidRDefault="00E5360F">
      <w:pPr>
        <w:spacing w:line="520" w:lineRule="exact"/>
        <w:ind w:firstLineChars="200" w:firstLine="560"/>
        <w:outlineLvl w:val="0"/>
        <w:rPr>
          <w:rFonts w:ascii="黑体" w:eastAsia="黑体" w:hAnsi="黑体" w:cs="黑体"/>
          <w:sz w:val="28"/>
          <w:szCs w:val="28"/>
        </w:rPr>
      </w:pPr>
      <w:bookmarkStart w:id="42" w:name="_Toc517708028"/>
      <w:bookmarkStart w:id="43" w:name="_Toc511502550"/>
      <w:bookmarkStart w:id="44" w:name="_Toc31947"/>
      <w:r>
        <w:rPr>
          <w:rFonts w:ascii="黑体" w:eastAsia="黑体" w:hAnsi="黑体" w:cs="黑体" w:hint="eastAsia"/>
          <w:sz w:val="28"/>
          <w:szCs w:val="28"/>
        </w:rPr>
        <w:t>五、建议</w:t>
      </w:r>
      <w:bookmarkEnd w:id="42"/>
      <w:bookmarkEnd w:id="43"/>
    </w:p>
    <w:p w:rsidR="00517E84" w:rsidRDefault="00E5360F">
      <w:pPr>
        <w:spacing w:line="520" w:lineRule="exact"/>
        <w:ind w:firstLineChars="200" w:firstLine="560"/>
        <w:rPr>
          <w:rFonts w:ascii="仿宋" w:eastAsia="仿宋" w:hAnsi="仿宋"/>
          <w:sz w:val="28"/>
          <w:szCs w:val="28"/>
        </w:rPr>
      </w:pPr>
      <w:r>
        <w:rPr>
          <w:rFonts w:ascii="仿宋" w:eastAsia="仿宋" w:hAnsi="仿宋" w:hint="eastAsia"/>
          <w:sz w:val="28"/>
          <w:szCs w:val="28"/>
        </w:rPr>
        <w:t>1.投入方面</w:t>
      </w:r>
      <w:bookmarkEnd w:id="44"/>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加强对《预算法》、《会计法》等法律法规的学习宣传力度，落实部门预算编制的主体责任。要在预算部门开展多种形式的《预算法》学习宣传活动，提高部门工作人员的预算法定意识、资金绩效意识、花钱责任意识，明确部门对预算编制的真实性、准确性、完整性负有的法定责任，增强机关工作人员的预算编制参与度，准确、合理编制项目绩效目标。</w:t>
      </w:r>
    </w:p>
    <w:p w:rsidR="00517E84" w:rsidRDefault="00497CC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w:t>
      </w:r>
      <w:r w:rsidR="00E5360F">
        <w:rPr>
          <w:rFonts w:ascii="仿宋" w:eastAsia="仿宋" w:hAnsi="仿宋" w:hint="eastAsia"/>
          <w:bCs/>
          <w:sz w:val="28"/>
          <w:szCs w:val="28"/>
        </w:rPr>
        <w:t>.项目管理方面</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w:t>
      </w:r>
      <w:bookmarkStart w:id="45" w:name="_Toc16744"/>
      <w:r>
        <w:rPr>
          <w:rFonts w:ascii="仿宋" w:eastAsia="仿宋" w:hAnsi="仿宋" w:hint="eastAsia"/>
          <w:bCs/>
          <w:sz w:val="28"/>
          <w:szCs w:val="28"/>
        </w:rPr>
        <w:t>加快项目实施进度。倒排工程完工时间，把握好关键时间节点，</w:t>
      </w:r>
      <w:r>
        <w:rPr>
          <w:rFonts w:ascii="仿宋" w:eastAsia="仿宋" w:hAnsi="仿宋" w:hint="eastAsia"/>
          <w:bCs/>
          <w:sz w:val="28"/>
          <w:szCs w:val="28"/>
        </w:rPr>
        <w:lastRenderedPageBreak/>
        <w:t>确保泵站更新改造工程满足汛期排水要求。</w:t>
      </w:r>
    </w:p>
    <w:p w:rsidR="00517E84" w:rsidRDefault="00E5360F">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（2）项目建设单位、项目施工单位、监理单位严格按照工程项目建设程序和工程项目档案管理的要求填写相关资料，并及时归档。</w:t>
      </w:r>
    </w:p>
    <w:p w:rsidR="00497CCF" w:rsidRDefault="00497CCF" w:rsidP="00497CCF">
      <w:pPr>
        <w:spacing w:line="520" w:lineRule="exact"/>
        <w:ind w:firstLineChars="200" w:firstLine="560"/>
        <w:outlineLvl w:val="0"/>
        <w:rPr>
          <w:rFonts w:ascii="黑体" w:eastAsia="黑体" w:hAnsi="黑体" w:cs="黑体"/>
          <w:sz w:val="28"/>
          <w:szCs w:val="28"/>
        </w:rPr>
      </w:pPr>
      <w:bookmarkStart w:id="46" w:name="_Toc22970"/>
      <w:bookmarkStart w:id="47" w:name="_Toc517708029"/>
      <w:bookmarkStart w:id="48" w:name="_Toc511502553"/>
      <w:r>
        <w:rPr>
          <w:rFonts w:ascii="黑体" w:eastAsia="黑体" w:hAnsi="黑体" w:cs="黑体" w:hint="eastAsia"/>
          <w:sz w:val="28"/>
          <w:szCs w:val="28"/>
        </w:rPr>
        <w:t>六、其他需说明的问题</w:t>
      </w:r>
      <w:bookmarkEnd w:id="46"/>
      <w:bookmarkEnd w:id="47"/>
      <w:bookmarkEnd w:id="48"/>
    </w:p>
    <w:p w:rsidR="00497CCF" w:rsidRDefault="00497CCF" w:rsidP="00497CCF">
      <w:pPr>
        <w:spacing w:line="520" w:lineRule="exact"/>
        <w:ind w:firstLineChars="200" w:firstLine="560"/>
        <w:rPr>
          <w:rFonts w:ascii="仿宋" w:eastAsia="仿宋" w:hAnsi="仿宋"/>
          <w:sz w:val="28"/>
          <w:szCs w:val="28"/>
        </w:rPr>
      </w:pPr>
      <w:r>
        <w:rPr>
          <w:rFonts w:ascii="仿宋" w:eastAsia="仿宋" w:hAnsi="仿宋" w:hint="eastAsia"/>
          <w:sz w:val="28"/>
          <w:szCs w:val="28"/>
        </w:rPr>
        <w:t>部分项目绩效很难在短期内体现出来，一是项目效益是长期的过程，并非所有的投入当年就能见效，很难在短期内见到的效果；二是项目的效益难以准确定量衡量。</w:t>
      </w:r>
    </w:p>
    <w:p w:rsidR="00497CCF" w:rsidRPr="00497CCF" w:rsidRDefault="00497CCF">
      <w:pPr>
        <w:spacing w:line="520" w:lineRule="exact"/>
        <w:ind w:firstLineChars="200" w:firstLine="560"/>
        <w:rPr>
          <w:rFonts w:ascii="仿宋" w:eastAsia="仿宋" w:hAnsi="仿宋"/>
          <w:bCs/>
          <w:sz w:val="28"/>
          <w:szCs w:val="28"/>
        </w:rPr>
      </w:pPr>
    </w:p>
    <w:bookmarkEnd w:id="45"/>
    <w:p w:rsidR="00517E84" w:rsidRDefault="00517E84">
      <w:pPr>
        <w:rPr>
          <w:rFonts w:ascii="仿宋" w:eastAsia="仿宋" w:hAnsi="仿宋"/>
          <w:sz w:val="28"/>
          <w:szCs w:val="28"/>
        </w:rPr>
      </w:pPr>
    </w:p>
    <w:sectPr w:rsidR="00517E84">
      <w:footerReference w:type="default" r:id="rId9"/>
      <w:pgSz w:w="11850" w:h="16783"/>
      <w:pgMar w:top="1440" w:right="1360" w:bottom="1440" w:left="1800"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45C" w:rsidRDefault="0034745C">
      <w:r>
        <w:separator/>
      </w:r>
    </w:p>
  </w:endnote>
  <w:endnote w:type="continuationSeparator" w:id="0">
    <w:p w:rsidR="0034745C" w:rsidRDefault="00347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Semilight">
    <w:altName w:val="Arial Unicode MS"/>
    <w:charset w:val="86"/>
    <w:family w:val="swiss"/>
    <w:pitch w:val="default"/>
    <w:sig w:usb0="00000000" w:usb1="00000000" w:usb2="00000012" w:usb3="00000000" w:csb0="003E01BD" w:csb1="00000000"/>
  </w:font>
  <w:font w:name="方正仿宋_GBK">
    <w:altName w:val="Arial Unicode MS"/>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0F" w:rsidRDefault="00E5360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0F" w:rsidRDefault="00E5360F">
    <w:pPr>
      <w:pStyle w:val="a3"/>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5360F" w:rsidRDefault="00E5360F">
                          <w:pPr>
                            <w:pStyle w:val="a3"/>
                            <w:jc w:val="center"/>
                          </w:pPr>
                          <w:r>
                            <w:fldChar w:fldCharType="begin"/>
                          </w:r>
                          <w:r>
                            <w:instrText>PAGE   \* MERGEFORMAT</w:instrText>
                          </w:r>
                          <w:r>
                            <w:fldChar w:fldCharType="separate"/>
                          </w:r>
                          <w:r w:rsidR="001A27E4" w:rsidRPr="001A27E4">
                            <w:rPr>
                              <w:noProof/>
                              <w:lang w:val="zh-CN"/>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5360F" w:rsidRDefault="00E5360F">
                    <w:pPr>
                      <w:pStyle w:val="a3"/>
                      <w:jc w:val="center"/>
                    </w:pPr>
                    <w:r>
                      <w:fldChar w:fldCharType="begin"/>
                    </w:r>
                    <w:r>
                      <w:instrText>PAGE   \* MERGEFORMAT</w:instrText>
                    </w:r>
                    <w:r>
                      <w:fldChar w:fldCharType="separate"/>
                    </w:r>
                    <w:r w:rsidR="001A27E4" w:rsidRPr="001A27E4">
                      <w:rPr>
                        <w:noProof/>
                        <w:lang w:val="zh-CN"/>
                      </w:rPr>
                      <w:t>7</w:t>
                    </w:r>
                    <w:r>
                      <w:fldChar w:fldCharType="end"/>
                    </w:r>
                  </w:p>
                </w:txbxContent>
              </v:textbox>
              <w10:wrap anchorx="margin"/>
            </v:shape>
          </w:pict>
        </mc:Fallback>
      </mc:AlternateContent>
    </w:r>
  </w:p>
  <w:p w:rsidR="00E5360F" w:rsidRDefault="00E5360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45C" w:rsidRDefault="0034745C">
      <w:r>
        <w:separator/>
      </w:r>
    </w:p>
  </w:footnote>
  <w:footnote w:type="continuationSeparator" w:id="0">
    <w:p w:rsidR="0034745C" w:rsidRDefault="003474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68"/>
    <w:rsid w:val="00020572"/>
    <w:rsid w:val="00046260"/>
    <w:rsid w:val="00066426"/>
    <w:rsid w:val="000924B0"/>
    <w:rsid w:val="000D1425"/>
    <w:rsid w:val="000E016E"/>
    <w:rsid w:val="000F1C74"/>
    <w:rsid w:val="000F54BB"/>
    <w:rsid w:val="00101AF6"/>
    <w:rsid w:val="00111059"/>
    <w:rsid w:val="00111BBC"/>
    <w:rsid w:val="00111C92"/>
    <w:rsid w:val="0013134C"/>
    <w:rsid w:val="00132B8D"/>
    <w:rsid w:val="0014001D"/>
    <w:rsid w:val="00156362"/>
    <w:rsid w:val="001A27E4"/>
    <w:rsid w:val="001A7A48"/>
    <w:rsid w:val="001C38AF"/>
    <w:rsid w:val="001D124B"/>
    <w:rsid w:val="001E5898"/>
    <w:rsid w:val="001F6A68"/>
    <w:rsid w:val="002229E2"/>
    <w:rsid w:val="002469B1"/>
    <w:rsid w:val="00274C6F"/>
    <w:rsid w:val="0027709E"/>
    <w:rsid w:val="00285895"/>
    <w:rsid w:val="002C5D51"/>
    <w:rsid w:val="002D0E32"/>
    <w:rsid w:val="00324C35"/>
    <w:rsid w:val="0033683C"/>
    <w:rsid w:val="00346A97"/>
    <w:rsid w:val="0034745C"/>
    <w:rsid w:val="003E432D"/>
    <w:rsid w:val="003E64C5"/>
    <w:rsid w:val="00403A52"/>
    <w:rsid w:val="00407B13"/>
    <w:rsid w:val="00411F4F"/>
    <w:rsid w:val="0041330B"/>
    <w:rsid w:val="00416E9A"/>
    <w:rsid w:val="00423797"/>
    <w:rsid w:val="00427412"/>
    <w:rsid w:val="00462CE4"/>
    <w:rsid w:val="00473879"/>
    <w:rsid w:val="004842BD"/>
    <w:rsid w:val="00487239"/>
    <w:rsid w:val="00497CCF"/>
    <w:rsid w:val="004A2A1F"/>
    <w:rsid w:val="004C58FC"/>
    <w:rsid w:val="004D32C3"/>
    <w:rsid w:val="004D46DD"/>
    <w:rsid w:val="00503207"/>
    <w:rsid w:val="00517E84"/>
    <w:rsid w:val="00521478"/>
    <w:rsid w:val="00526C7B"/>
    <w:rsid w:val="00527271"/>
    <w:rsid w:val="0053051C"/>
    <w:rsid w:val="0053738A"/>
    <w:rsid w:val="005814A7"/>
    <w:rsid w:val="005A5C97"/>
    <w:rsid w:val="005C473F"/>
    <w:rsid w:val="005E6278"/>
    <w:rsid w:val="005F2B9A"/>
    <w:rsid w:val="005F4CE2"/>
    <w:rsid w:val="00627ECB"/>
    <w:rsid w:val="00630623"/>
    <w:rsid w:val="00640F88"/>
    <w:rsid w:val="006A5FD0"/>
    <w:rsid w:val="006D21E9"/>
    <w:rsid w:val="006F7839"/>
    <w:rsid w:val="00722FA7"/>
    <w:rsid w:val="00745A13"/>
    <w:rsid w:val="00755AAD"/>
    <w:rsid w:val="007D2490"/>
    <w:rsid w:val="0083180C"/>
    <w:rsid w:val="008374E6"/>
    <w:rsid w:val="008717E7"/>
    <w:rsid w:val="008A4FE7"/>
    <w:rsid w:val="008C0AE4"/>
    <w:rsid w:val="008E3A36"/>
    <w:rsid w:val="008E4FE3"/>
    <w:rsid w:val="009020F4"/>
    <w:rsid w:val="00922DCA"/>
    <w:rsid w:val="00966772"/>
    <w:rsid w:val="009D25B3"/>
    <w:rsid w:val="009D2601"/>
    <w:rsid w:val="00A075CD"/>
    <w:rsid w:val="00A26A19"/>
    <w:rsid w:val="00A34A24"/>
    <w:rsid w:val="00A402C6"/>
    <w:rsid w:val="00A47D3D"/>
    <w:rsid w:val="00A60AA1"/>
    <w:rsid w:val="00A76C71"/>
    <w:rsid w:val="00A874A9"/>
    <w:rsid w:val="00A907A0"/>
    <w:rsid w:val="00AC7377"/>
    <w:rsid w:val="00AD2DE4"/>
    <w:rsid w:val="00AE4121"/>
    <w:rsid w:val="00AE4815"/>
    <w:rsid w:val="00AF549B"/>
    <w:rsid w:val="00B0116C"/>
    <w:rsid w:val="00B050E9"/>
    <w:rsid w:val="00B12FEA"/>
    <w:rsid w:val="00B453CB"/>
    <w:rsid w:val="00B52BD4"/>
    <w:rsid w:val="00B55596"/>
    <w:rsid w:val="00B55C63"/>
    <w:rsid w:val="00B55F41"/>
    <w:rsid w:val="00B603F2"/>
    <w:rsid w:val="00B64908"/>
    <w:rsid w:val="00BC6704"/>
    <w:rsid w:val="00BE0E21"/>
    <w:rsid w:val="00BF13BD"/>
    <w:rsid w:val="00C1115B"/>
    <w:rsid w:val="00C30A1E"/>
    <w:rsid w:val="00C401E5"/>
    <w:rsid w:val="00C46DFC"/>
    <w:rsid w:val="00C770A8"/>
    <w:rsid w:val="00C83B2C"/>
    <w:rsid w:val="00C936D9"/>
    <w:rsid w:val="00CC587C"/>
    <w:rsid w:val="00CE4C59"/>
    <w:rsid w:val="00D01713"/>
    <w:rsid w:val="00D119B4"/>
    <w:rsid w:val="00D26A36"/>
    <w:rsid w:val="00D27179"/>
    <w:rsid w:val="00D55825"/>
    <w:rsid w:val="00D956B6"/>
    <w:rsid w:val="00DC0BC8"/>
    <w:rsid w:val="00DE15AE"/>
    <w:rsid w:val="00E11E31"/>
    <w:rsid w:val="00E215C8"/>
    <w:rsid w:val="00E21F2F"/>
    <w:rsid w:val="00E2582D"/>
    <w:rsid w:val="00E45386"/>
    <w:rsid w:val="00E5360F"/>
    <w:rsid w:val="00E6627D"/>
    <w:rsid w:val="00E70CB0"/>
    <w:rsid w:val="00EC6281"/>
    <w:rsid w:val="00ED3866"/>
    <w:rsid w:val="00EE79FF"/>
    <w:rsid w:val="00EF1C6B"/>
    <w:rsid w:val="00F214AA"/>
    <w:rsid w:val="00F243E2"/>
    <w:rsid w:val="00F41EB7"/>
    <w:rsid w:val="00F43DD5"/>
    <w:rsid w:val="00F475FC"/>
    <w:rsid w:val="00F54FB3"/>
    <w:rsid w:val="00F65EA5"/>
    <w:rsid w:val="00F729F0"/>
    <w:rsid w:val="00F74552"/>
    <w:rsid w:val="00F84E6B"/>
    <w:rsid w:val="00F85758"/>
    <w:rsid w:val="00FA1D4F"/>
    <w:rsid w:val="00FE2460"/>
    <w:rsid w:val="00FE50AE"/>
    <w:rsid w:val="011619D5"/>
    <w:rsid w:val="02433989"/>
    <w:rsid w:val="024977BB"/>
    <w:rsid w:val="02EC4F6B"/>
    <w:rsid w:val="04F362FC"/>
    <w:rsid w:val="05DF0C97"/>
    <w:rsid w:val="07427A65"/>
    <w:rsid w:val="0822428A"/>
    <w:rsid w:val="08255181"/>
    <w:rsid w:val="08F54415"/>
    <w:rsid w:val="092513DB"/>
    <w:rsid w:val="094012E4"/>
    <w:rsid w:val="0B680E20"/>
    <w:rsid w:val="0BAC1EC3"/>
    <w:rsid w:val="0BF5512F"/>
    <w:rsid w:val="0C0617A3"/>
    <w:rsid w:val="0D08548C"/>
    <w:rsid w:val="111D548E"/>
    <w:rsid w:val="112253B8"/>
    <w:rsid w:val="11502F87"/>
    <w:rsid w:val="11B0026D"/>
    <w:rsid w:val="12515C87"/>
    <w:rsid w:val="138329FF"/>
    <w:rsid w:val="14592BF5"/>
    <w:rsid w:val="15850CA3"/>
    <w:rsid w:val="15F479EB"/>
    <w:rsid w:val="15FE404A"/>
    <w:rsid w:val="16291CDF"/>
    <w:rsid w:val="1703307D"/>
    <w:rsid w:val="181E065C"/>
    <w:rsid w:val="1A365119"/>
    <w:rsid w:val="1A3F1B4F"/>
    <w:rsid w:val="1A3F2E17"/>
    <w:rsid w:val="1B037C30"/>
    <w:rsid w:val="1B4A4ED5"/>
    <w:rsid w:val="1C906F25"/>
    <w:rsid w:val="1E660C08"/>
    <w:rsid w:val="203E6FA4"/>
    <w:rsid w:val="2106178E"/>
    <w:rsid w:val="21BF7F6B"/>
    <w:rsid w:val="22B465EB"/>
    <w:rsid w:val="232A40C1"/>
    <w:rsid w:val="242B52FC"/>
    <w:rsid w:val="2579673F"/>
    <w:rsid w:val="26270FC8"/>
    <w:rsid w:val="26403A28"/>
    <w:rsid w:val="268046CC"/>
    <w:rsid w:val="26A819F1"/>
    <w:rsid w:val="27387775"/>
    <w:rsid w:val="28317ACF"/>
    <w:rsid w:val="28D738E2"/>
    <w:rsid w:val="291F14E2"/>
    <w:rsid w:val="29603FC4"/>
    <w:rsid w:val="2B2A72A3"/>
    <w:rsid w:val="2C0146DA"/>
    <w:rsid w:val="2DA13818"/>
    <w:rsid w:val="2EF714FF"/>
    <w:rsid w:val="2F5739E0"/>
    <w:rsid w:val="305F6483"/>
    <w:rsid w:val="31BB42DC"/>
    <w:rsid w:val="333A29F9"/>
    <w:rsid w:val="346053E0"/>
    <w:rsid w:val="34910A7F"/>
    <w:rsid w:val="369D49C8"/>
    <w:rsid w:val="378E71C4"/>
    <w:rsid w:val="37A82FD8"/>
    <w:rsid w:val="37DB4908"/>
    <w:rsid w:val="38AA2178"/>
    <w:rsid w:val="399D79E8"/>
    <w:rsid w:val="3A2D2B4E"/>
    <w:rsid w:val="3A3B3B69"/>
    <w:rsid w:val="3B296DC7"/>
    <w:rsid w:val="3B6B0524"/>
    <w:rsid w:val="3CA030F5"/>
    <w:rsid w:val="3EC12C56"/>
    <w:rsid w:val="40A46592"/>
    <w:rsid w:val="41A77903"/>
    <w:rsid w:val="41AA3850"/>
    <w:rsid w:val="42D544BF"/>
    <w:rsid w:val="435641B9"/>
    <w:rsid w:val="45912B36"/>
    <w:rsid w:val="469E7D8F"/>
    <w:rsid w:val="47C63392"/>
    <w:rsid w:val="48CA4E98"/>
    <w:rsid w:val="491362C8"/>
    <w:rsid w:val="49437007"/>
    <w:rsid w:val="49CA00A3"/>
    <w:rsid w:val="49EE6A34"/>
    <w:rsid w:val="4A2C64FF"/>
    <w:rsid w:val="4B772C52"/>
    <w:rsid w:val="4C6B7847"/>
    <w:rsid w:val="4E054A3A"/>
    <w:rsid w:val="4E163FD2"/>
    <w:rsid w:val="4F9E5A56"/>
    <w:rsid w:val="50112828"/>
    <w:rsid w:val="50454210"/>
    <w:rsid w:val="5061685E"/>
    <w:rsid w:val="50976AA4"/>
    <w:rsid w:val="51997332"/>
    <w:rsid w:val="526B1E56"/>
    <w:rsid w:val="53D14E65"/>
    <w:rsid w:val="55EB7931"/>
    <w:rsid w:val="57BF4437"/>
    <w:rsid w:val="59310CC8"/>
    <w:rsid w:val="5AA44C18"/>
    <w:rsid w:val="5B1F46C4"/>
    <w:rsid w:val="5B4C7D8A"/>
    <w:rsid w:val="5BD0076E"/>
    <w:rsid w:val="5C91170E"/>
    <w:rsid w:val="5DCB7161"/>
    <w:rsid w:val="5F2B4604"/>
    <w:rsid w:val="5FAD482D"/>
    <w:rsid w:val="60C056D5"/>
    <w:rsid w:val="61FC2E74"/>
    <w:rsid w:val="632A33D1"/>
    <w:rsid w:val="636742BA"/>
    <w:rsid w:val="63CF2721"/>
    <w:rsid w:val="63D12B27"/>
    <w:rsid w:val="64BB71DA"/>
    <w:rsid w:val="64FA052D"/>
    <w:rsid w:val="6589703A"/>
    <w:rsid w:val="660A3D81"/>
    <w:rsid w:val="663D37A6"/>
    <w:rsid w:val="675B5AB9"/>
    <w:rsid w:val="6AD72FD6"/>
    <w:rsid w:val="6B146E2D"/>
    <w:rsid w:val="6C2E5A3D"/>
    <w:rsid w:val="6F732F20"/>
    <w:rsid w:val="6F9047AB"/>
    <w:rsid w:val="70D87661"/>
    <w:rsid w:val="722D7391"/>
    <w:rsid w:val="72DE7EE6"/>
    <w:rsid w:val="732E1A61"/>
    <w:rsid w:val="73986528"/>
    <w:rsid w:val="75647FCD"/>
    <w:rsid w:val="75AC5602"/>
    <w:rsid w:val="75CE698D"/>
    <w:rsid w:val="764341F2"/>
    <w:rsid w:val="766846A9"/>
    <w:rsid w:val="77445955"/>
    <w:rsid w:val="77D12C2E"/>
    <w:rsid w:val="77DB16D4"/>
    <w:rsid w:val="786E5426"/>
    <w:rsid w:val="79C62A8B"/>
    <w:rsid w:val="79F157C1"/>
    <w:rsid w:val="7A8344BA"/>
    <w:rsid w:val="7B470FC6"/>
    <w:rsid w:val="7B533FAA"/>
    <w:rsid w:val="7B5C3842"/>
    <w:rsid w:val="7BD73647"/>
    <w:rsid w:val="7BEA0549"/>
    <w:rsid w:val="7CEB754A"/>
    <w:rsid w:val="7E9D4A56"/>
    <w:rsid w:val="7F1C7F7D"/>
    <w:rsid w:val="7F79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03D5894"/>
  <w15:docId w15:val="{22769E83-D52C-4CAA-A0AD-E32436D9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qFormat/>
    <w:pPr>
      <w:ind w:leftChars="400" w:left="840"/>
    </w:pPr>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qFormat/>
  </w:style>
  <w:style w:type="paragraph" w:styleId="2">
    <w:name w:val="toc 2"/>
    <w:basedOn w:val="a"/>
    <w:next w:val="a"/>
    <w:uiPriority w:val="39"/>
    <w:qFormat/>
    <w:pPr>
      <w:ind w:leftChars="200" w:left="420"/>
    </w:pPr>
  </w:style>
  <w:style w:type="character" w:styleId="a5">
    <w:name w:val="Hyperlink"/>
    <w:basedOn w:val="a0"/>
    <w:uiPriority w:val="99"/>
    <w:unhideWhenUsed/>
    <w:qFormat/>
    <w:rPr>
      <w:color w:val="0563C1" w:themeColor="hyperlink"/>
      <w:u w:val="single"/>
    </w:rPr>
  </w:style>
  <w:style w:type="paragraph" w:customStyle="1" w:styleId="lxl">
    <w:name w:val="lxl"/>
    <w:basedOn w:val="a"/>
    <w:qFormat/>
    <w:pPr>
      <w:widowControl/>
      <w:spacing w:line="560" w:lineRule="exact"/>
    </w:pPr>
    <w:rPr>
      <w:rFonts w:ascii="Malgun Gothic Semilight" w:eastAsia="方正仿宋_GBK" w:hAnsi="Malgun Gothic Semilight"/>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873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889733-F98A-4085-AA61-2C8AFA9D0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1380</Words>
  <Characters>7869</Characters>
  <Application>Microsoft Office Word</Application>
  <DocSecurity>0</DocSecurity>
  <Lines>65</Lines>
  <Paragraphs>18</Paragraphs>
  <ScaleCrop>false</ScaleCrop>
  <Company>Microsoft</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01</cp:lastModifiedBy>
  <cp:revision>74</cp:revision>
  <dcterms:created xsi:type="dcterms:W3CDTF">2014-10-29T12:08:00Z</dcterms:created>
  <dcterms:modified xsi:type="dcterms:W3CDTF">2018-09-29T04:33:00Z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