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ascii="宋体" w:hAnsi="宋体" w:eastAsia="宋体"/>
          <w:b/>
          <w:sz w:val="40"/>
          <w:szCs w:val="32"/>
        </w:rPr>
        <w:t>生态环境损害赔偿磋商告知书</w:t>
      </w:r>
    </w:p>
    <w:p>
      <w:pPr>
        <w:keepNext w:val="0"/>
        <w:keepLines w:val="0"/>
        <w:pageBreakBefore w:val="0"/>
        <w:widowControl w:val="0"/>
        <w:kinsoku/>
        <w:overflowPunct/>
        <w:topLinePunct w:val="0"/>
        <w:autoSpaceDE/>
        <w:autoSpaceDN/>
        <w:bidi w:val="0"/>
        <w:adjustRightInd/>
        <w:snapToGrid/>
        <w:spacing w:line="540" w:lineRule="exact"/>
        <w:textAlignment w:val="auto"/>
        <w:rPr>
          <w:rFonts w:ascii="宋体" w:hAnsi="宋体" w:eastAsia="宋体"/>
          <w:b/>
          <w:bCs/>
          <w:sz w:val="30"/>
          <w:szCs w:val="30"/>
        </w:rPr>
      </w:pPr>
    </w:p>
    <w:p>
      <w:pPr>
        <w:keepNext w:val="0"/>
        <w:keepLines w:val="0"/>
        <w:pageBreakBefore w:val="0"/>
        <w:widowControl w:val="0"/>
        <w:kinsoku/>
        <w:overflowPunct/>
        <w:topLinePunct w:val="0"/>
        <w:autoSpaceDE/>
        <w:autoSpaceDN/>
        <w:bidi w:val="0"/>
        <w:adjustRightInd/>
        <w:snapToGrid/>
        <w:spacing w:line="540" w:lineRule="exact"/>
        <w:textAlignment w:val="auto"/>
        <w:rPr>
          <w:rFonts w:ascii="宋体" w:hAnsi="宋体" w:eastAsia="宋体"/>
          <w:sz w:val="30"/>
          <w:szCs w:val="30"/>
        </w:rPr>
      </w:pPr>
      <w:r>
        <w:rPr>
          <w:rFonts w:hint="eastAsia" w:ascii="宋体" w:hAnsi="宋体" w:eastAsia="宋体"/>
          <w:b/>
          <w:bCs/>
          <w:sz w:val="30"/>
          <w:szCs w:val="30"/>
        </w:rPr>
        <w:t>告知人：</w:t>
      </w:r>
      <w:r>
        <w:rPr>
          <w:rFonts w:hint="eastAsia" w:ascii="宋体" w:hAnsi="宋体" w:eastAsia="宋体"/>
          <w:sz w:val="30"/>
          <w:szCs w:val="30"/>
        </w:rPr>
        <w:t>武汉市水务局</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宋体" w:hAnsi="宋体" w:eastAsia="宋体"/>
          <w:sz w:val="30"/>
          <w:szCs w:val="30"/>
        </w:rPr>
      </w:pPr>
      <w:r>
        <w:rPr>
          <w:rFonts w:hint="eastAsia" w:ascii="宋体" w:hAnsi="宋体" w:eastAsia="宋体"/>
          <w:b/>
          <w:bCs/>
          <w:sz w:val="30"/>
          <w:szCs w:val="30"/>
        </w:rPr>
        <w:t>被告知人：</w:t>
      </w:r>
      <w:r>
        <w:rPr>
          <w:rFonts w:hint="eastAsia" w:ascii="宋体" w:hAnsi="宋体" w:eastAsia="宋体"/>
          <w:sz w:val="30"/>
          <w:szCs w:val="30"/>
        </w:rPr>
        <w:t>舒红刚</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宋体" w:hAnsi="宋体" w:eastAsia="宋体" w:cstheme="minorBidi"/>
          <w:kern w:val="2"/>
          <w:sz w:val="30"/>
          <w:szCs w:val="30"/>
          <w:lang w:val="en-US" w:eastAsia="zh-CN" w:bidi="ar-SA"/>
        </w:rPr>
      </w:pPr>
      <w:r>
        <w:rPr>
          <w:rFonts w:hint="eastAsia" w:ascii="宋体" w:hAnsi="宋体" w:eastAsia="宋体"/>
          <w:b/>
          <w:bCs/>
          <w:sz w:val="30"/>
          <w:szCs w:val="30"/>
        </w:rPr>
        <w:t>公民身份证号：</w:t>
      </w:r>
      <w:r>
        <w:rPr>
          <w:rFonts w:hint="eastAsia" w:ascii="宋体" w:hAnsi="宋体" w:eastAsia="宋体" w:cstheme="minorBidi"/>
          <w:kern w:val="2"/>
          <w:sz w:val="30"/>
          <w:szCs w:val="30"/>
          <w:lang w:val="en-US" w:eastAsia="zh-CN" w:bidi="ar-SA"/>
        </w:rPr>
        <w:t>4221291974********</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宋体" w:hAnsi="宋体" w:eastAsia="宋体"/>
          <w:sz w:val="30"/>
          <w:szCs w:val="30"/>
        </w:rPr>
      </w:pPr>
      <w:r>
        <w:rPr>
          <w:rFonts w:hint="eastAsia" w:ascii="宋体" w:hAnsi="宋体" w:eastAsia="宋体"/>
          <w:b/>
          <w:bCs/>
          <w:sz w:val="30"/>
          <w:szCs w:val="30"/>
        </w:rPr>
        <w:t>地址：</w:t>
      </w:r>
      <w:r>
        <w:rPr>
          <w:rFonts w:hint="eastAsia" w:ascii="宋体" w:hAnsi="宋体" w:eastAsia="宋体"/>
          <w:sz w:val="30"/>
          <w:szCs w:val="30"/>
        </w:rPr>
        <w:t>湖北省武穴市龙坪镇朝阳村花园村花园塘91-1号</w:t>
      </w: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宋体" w:hAnsi="宋体" w:eastAsia="宋体"/>
          <w:sz w:val="30"/>
          <w:szCs w:val="30"/>
        </w:rPr>
      </w:pPr>
    </w:p>
    <w:p>
      <w:pPr>
        <w:pStyle w:val="6"/>
        <w:keepNext w:val="0"/>
        <w:keepLines w:val="0"/>
        <w:pageBreakBefore w:val="0"/>
        <w:widowControl w:val="0"/>
        <w:numPr>
          <w:ilvl w:val="0"/>
          <w:numId w:val="1"/>
        </w:numPr>
        <w:kinsoku/>
        <w:overflowPunct/>
        <w:topLinePunct w:val="0"/>
        <w:autoSpaceDE/>
        <w:autoSpaceDN/>
        <w:bidi w:val="0"/>
        <w:adjustRightInd/>
        <w:snapToGrid/>
        <w:spacing w:line="540" w:lineRule="exact"/>
        <w:ind w:left="0" w:firstLine="602"/>
        <w:textAlignment w:val="auto"/>
        <w:rPr>
          <w:rFonts w:ascii="宋体" w:hAnsi="宋体" w:eastAsia="宋体"/>
          <w:b/>
          <w:bCs/>
          <w:sz w:val="30"/>
          <w:szCs w:val="30"/>
        </w:rPr>
      </w:pPr>
      <w:r>
        <w:rPr>
          <w:rFonts w:ascii="宋体" w:hAnsi="宋体" w:eastAsia="宋体"/>
          <w:b/>
          <w:sz w:val="30"/>
          <w:szCs w:val="30"/>
        </w:rPr>
        <w:t>生态环境损害赔偿事由</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021</w:t>
      </w:r>
      <w:r>
        <w:rPr>
          <w:rFonts w:hint="eastAsia" w:ascii="宋体" w:hAnsi="宋体" w:eastAsia="宋体"/>
          <w:color w:val="000000" w:themeColor="text1"/>
          <w:sz w:val="30"/>
          <w:szCs w:val="30"/>
          <w14:textFill>
            <w14:solidFill>
              <w14:schemeClr w14:val="tx1"/>
            </w14:solidFill>
          </w14:textFill>
        </w:rPr>
        <w:t>年</w:t>
      </w:r>
      <w:r>
        <w:rPr>
          <w:rFonts w:ascii="宋体" w:hAnsi="宋体" w:eastAsia="宋体"/>
          <w:color w:val="000000" w:themeColor="text1"/>
          <w:sz w:val="30"/>
          <w:szCs w:val="30"/>
          <w14:textFill>
            <w14:solidFill>
              <w14:schemeClr w14:val="tx1"/>
            </w14:solidFill>
          </w14:textFill>
        </w:rPr>
        <w:t>3</w:t>
      </w:r>
      <w:r>
        <w:rPr>
          <w:rFonts w:hint="eastAsia" w:ascii="宋体" w:hAnsi="宋体" w:eastAsia="宋体"/>
          <w:color w:val="000000" w:themeColor="text1"/>
          <w:sz w:val="30"/>
          <w:szCs w:val="30"/>
          <w14:textFill>
            <w14:solidFill>
              <w14:schemeClr w14:val="tx1"/>
            </w14:solidFill>
          </w14:textFill>
        </w:rPr>
        <w:t>月</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（2021）鄂0103刑初191号</w:t>
      </w:r>
      <w:r>
        <w:rPr>
          <w:rFonts w:hint="eastAsia" w:ascii="宋体" w:hAnsi="宋体" w:eastAsia="宋体"/>
          <w:color w:val="000000" w:themeColor="text1"/>
          <w:sz w:val="30"/>
          <w:szCs w:val="30"/>
          <w14:textFill>
            <w14:solidFill>
              <w14:schemeClr w14:val="tx1"/>
            </w14:solidFill>
          </w14:textFill>
        </w:rPr>
        <w:t>《刑事判决书》认定</w:t>
      </w:r>
      <w:r>
        <w:rPr>
          <w:rFonts w:hint="eastAsia" w:ascii="宋体" w:hAnsi="宋体" w:eastAsia="宋体"/>
          <w:color w:val="000000" w:themeColor="text1"/>
          <w:sz w:val="30"/>
          <w:szCs w:val="30"/>
          <w:lang w:eastAsia="zh-CN"/>
          <w14:textFill>
            <w14:solidFill>
              <w14:schemeClr w14:val="tx1"/>
            </w14:solidFill>
          </w14:textFill>
        </w:rPr>
        <w:t>你</w:t>
      </w:r>
      <w:r>
        <w:rPr>
          <w:rFonts w:hint="eastAsia" w:ascii="宋体" w:hAnsi="宋体" w:eastAsia="宋体"/>
          <w:color w:val="000000" w:themeColor="text1"/>
          <w:sz w:val="30"/>
          <w:szCs w:val="30"/>
          <w14:textFill>
            <w14:solidFill>
              <w14:schemeClr w14:val="tx1"/>
            </w14:solidFill>
          </w14:textFill>
        </w:rPr>
        <w:t>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w:t>
      </w:r>
      <w:r>
        <w:rPr>
          <w:rFonts w:ascii="宋体" w:hAnsi="宋体" w:eastAsia="宋体"/>
          <w:color w:val="000000" w:themeColor="text1"/>
          <w:sz w:val="30"/>
          <w:szCs w:val="30"/>
          <w14:textFill>
            <w14:solidFill>
              <w14:schemeClr w14:val="tx1"/>
            </w14:solidFill>
          </w14:textFill>
        </w:rPr>
        <w:t>2947吨，涉案江砂价值共计人民币162085元。</w:t>
      </w:r>
    </w:p>
    <w:p>
      <w:pPr>
        <w:pStyle w:val="6"/>
        <w:keepNext w:val="0"/>
        <w:keepLines w:val="0"/>
        <w:pageBreakBefore w:val="0"/>
        <w:widowControl w:val="0"/>
        <w:kinsoku/>
        <w:overflowPunct/>
        <w:topLinePunct w:val="0"/>
        <w:autoSpaceDE/>
        <w:autoSpaceDN/>
        <w:bidi w:val="0"/>
        <w:adjustRightInd/>
        <w:snapToGrid/>
        <w:spacing w:line="540" w:lineRule="exact"/>
        <w:ind w:firstLine="600"/>
        <w:textAlignment w:val="auto"/>
        <w:rPr>
          <w:rFonts w:ascii="宋体" w:hAnsi="宋体" w:eastAsia="宋体"/>
          <w:sz w:val="30"/>
          <w:szCs w:val="30"/>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w:t>
      </w:r>
      <w:r>
        <w:rPr>
          <w:rFonts w:hint="eastAsia" w:ascii="宋体" w:hAnsi="宋体" w:eastAsia="宋体" w:cs="宋体"/>
          <w:color w:val="000000" w:themeColor="text1"/>
          <w:sz w:val="30"/>
          <w:szCs w:val="30"/>
          <w:lang w:eastAsia="zh-CN"/>
          <w14:textFill>
            <w14:solidFill>
              <w14:schemeClr w14:val="tx1"/>
            </w14:solidFill>
          </w14:textFill>
        </w:rPr>
        <w:t>商</w:t>
      </w:r>
      <w:r>
        <w:rPr>
          <w:rFonts w:ascii="宋体" w:hAnsi="宋体" w:eastAsia="宋体"/>
          <w:sz w:val="30"/>
          <w:szCs w:val="30"/>
        </w:rPr>
        <w:t>。</w:t>
      </w:r>
    </w:p>
    <w:p>
      <w:pPr>
        <w:pStyle w:val="6"/>
        <w:keepNext w:val="0"/>
        <w:keepLines w:val="0"/>
        <w:pageBreakBefore w:val="0"/>
        <w:widowControl w:val="0"/>
        <w:numPr>
          <w:ilvl w:val="0"/>
          <w:numId w:val="1"/>
        </w:numPr>
        <w:kinsoku/>
        <w:overflowPunct/>
        <w:topLinePunct w:val="0"/>
        <w:autoSpaceDE/>
        <w:autoSpaceDN/>
        <w:bidi w:val="0"/>
        <w:adjustRightInd/>
        <w:snapToGrid/>
        <w:spacing w:line="540" w:lineRule="exact"/>
        <w:ind w:left="0" w:firstLine="602"/>
        <w:textAlignment w:val="auto"/>
        <w:rPr>
          <w:rFonts w:ascii="宋体" w:hAnsi="宋体" w:eastAsia="宋体"/>
          <w:b/>
          <w:bCs/>
          <w:sz w:val="30"/>
          <w:szCs w:val="30"/>
        </w:rPr>
      </w:pPr>
      <w:r>
        <w:rPr>
          <w:rFonts w:ascii="宋体" w:hAnsi="宋体" w:eastAsia="宋体"/>
          <w:b/>
          <w:sz w:val="30"/>
          <w:szCs w:val="30"/>
        </w:rPr>
        <w:t>生态环境损害调查情况</w:t>
      </w:r>
    </w:p>
    <w:p>
      <w:pPr>
        <w:keepNext w:val="0"/>
        <w:keepLines w:val="0"/>
        <w:pageBreakBefore w:val="0"/>
        <w:widowControl w:val="0"/>
        <w:kinsoku/>
        <w:overflowPunct/>
        <w:topLinePunct w:val="0"/>
        <w:autoSpaceDE/>
        <w:autoSpaceDN/>
        <w:bidi w:val="0"/>
        <w:adjustRightInd/>
        <w:snapToGrid/>
        <w:spacing w:line="540" w:lineRule="exact"/>
        <w:ind w:firstLine="600" w:firstLineChars="200"/>
        <w:textAlignment w:val="auto"/>
        <w:rPr>
          <w:rFonts w:ascii="宋体" w:hAnsi="宋体" w:eastAsia="宋体"/>
          <w:sz w:val="30"/>
          <w:szCs w:val="30"/>
        </w:rPr>
      </w:pPr>
      <w:r>
        <w:rPr>
          <w:rFonts w:hint="eastAsia" w:ascii="宋体" w:hAnsi="宋体" w:eastAsia="宋体"/>
          <w:sz w:val="30"/>
          <w:szCs w:val="30"/>
        </w:rPr>
        <w:t>2</w:t>
      </w:r>
      <w:r>
        <w:rPr>
          <w:rFonts w:ascii="宋体" w:hAnsi="宋体" w:eastAsia="宋体"/>
          <w:sz w:val="30"/>
          <w:szCs w:val="30"/>
        </w:rPr>
        <w:t>023</w:t>
      </w:r>
      <w:r>
        <w:rPr>
          <w:rFonts w:hint="eastAsia" w:ascii="宋体" w:hAnsi="宋体" w:eastAsia="宋体"/>
          <w:sz w:val="30"/>
          <w:szCs w:val="30"/>
        </w:rPr>
        <w:t>年3月，</w:t>
      </w:r>
      <w:r>
        <w:rPr>
          <w:rFonts w:hint="eastAsia" w:ascii="宋体" w:hAnsi="宋体" w:eastAsia="宋体"/>
          <w:sz w:val="30"/>
          <w:szCs w:val="30"/>
          <w:lang w:eastAsia="zh-CN"/>
        </w:rPr>
        <w:t>评估机构</w:t>
      </w:r>
      <w:r>
        <w:rPr>
          <w:rFonts w:hint="eastAsia" w:ascii="宋体" w:hAnsi="宋体" w:eastAsia="宋体"/>
          <w:sz w:val="30"/>
          <w:szCs w:val="30"/>
        </w:rPr>
        <w:t>对包含前述案件在内的</w:t>
      </w:r>
      <w:r>
        <w:rPr>
          <w:rFonts w:hint="eastAsia" w:ascii="宋体" w:hAnsi="宋体" w:eastAsia="宋体"/>
          <w:sz w:val="30"/>
          <w:szCs w:val="30"/>
          <w:lang w:eastAsia="zh-CN"/>
        </w:rPr>
        <w:t>一批</w:t>
      </w:r>
      <w:r>
        <w:rPr>
          <w:rFonts w:hint="eastAsia" w:ascii="宋体" w:hAnsi="宋体" w:eastAsia="宋体"/>
          <w:sz w:val="30"/>
          <w:szCs w:val="30"/>
        </w:rPr>
        <w:t>案件所涉非法采砂行为开展生态环境损害评估，并出具了</w:t>
      </w:r>
      <w:r>
        <w:rPr>
          <w:rFonts w:hint="eastAsia" w:ascii="宋体" w:hAnsi="宋体" w:eastAsia="宋体"/>
          <w:color w:val="000000" w:themeColor="text1"/>
          <w:sz w:val="30"/>
          <w:szCs w:val="30"/>
          <w14:textFill>
            <w14:solidFill>
              <w14:schemeClr w14:val="tx1"/>
            </w14:solidFill>
          </w14:textFill>
        </w:rPr>
        <w:t>《</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w:t>
      </w:r>
      <w:r>
        <w:rPr>
          <w:rFonts w:hint="eastAsia" w:ascii="宋体" w:hAnsi="宋体" w:eastAsia="宋体"/>
          <w:sz w:val="30"/>
          <w:szCs w:val="30"/>
        </w:rPr>
        <w:t>（以下简称《评估报告》）。</w:t>
      </w:r>
    </w:p>
    <w:p>
      <w:pPr>
        <w:keepNext w:val="0"/>
        <w:keepLines w:val="0"/>
        <w:pageBreakBefore w:val="0"/>
        <w:widowControl w:val="0"/>
        <w:kinsoku/>
        <w:overflowPunct/>
        <w:topLinePunct w:val="0"/>
        <w:autoSpaceDE/>
        <w:autoSpaceDN/>
        <w:bidi w:val="0"/>
        <w:adjustRightInd/>
        <w:snapToGrid/>
        <w:spacing w:line="540" w:lineRule="exact"/>
        <w:ind w:firstLine="600" w:firstLineChars="200"/>
        <w:textAlignment w:val="auto"/>
        <w:rPr>
          <w:rFonts w:ascii="宋体" w:hAnsi="宋体" w:eastAsia="宋体"/>
          <w:sz w:val="30"/>
          <w:szCs w:val="30"/>
        </w:rPr>
      </w:pPr>
      <w:r>
        <w:rPr>
          <w:rFonts w:hint="eastAsia" w:ascii="宋体" w:hAnsi="宋体" w:eastAsia="宋体"/>
          <w:sz w:val="30"/>
          <w:szCs w:val="30"/>
        </w:rPr>
        <w:t>经专家评估分析认为：</w:t>
      </w:r>
      <w:r>
        <w:rPr>
          <w:rFonts w:ascii="宋体" w:hAnsi="宋体" w:eastAsia="宋体"/>
          <w:sz w:val="30"/>
          <w:szCs w:val="30"/>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540" w:lineRule="exact"/>
        <w:ind w:firstLine="600" w:firstLineChars="200"/>
        <w:textAlignment w:val="auto"/>
        <w:rPr>
          <w:rFonts w:ascii="宋体" w:hAnsi="宋体" w:eastAsia="宋体"/>
          <w:sz w:val="30"/>
          <w:szCs w:val="30"/>
        </w:rPr>
      </w:pPr>
      <w:r>
        <w:rPr>
          <w:rFonts w:ascii="宋体" w:hAnsi="宋体" w:eastAsia="宋体"/>
          <w:sz w:val="30"/>
          <w:szCs w:val="30"/>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sz w:val="30"/>
          <w:szCs w:val="30"/>
        </w:rPr>
        <w:t>。</w:t>
      </w:r>
      <w:r>
        <w:rPr>
          <w:rFonts w:ascii="宋体" w:hAnsi="宋体" w:eastAsia="宋体"/>
          <w:sz w:val="30"/>
          <w:szCs w:val="30"/>
        </w:rPr>
        <w:t>因此计算得到</w:t>
      </w:r>
      <w:r>
        <w:rPr>
          <w:rFonts w:hint="eastAsia" w:ascii="宋体" w:hAnsi="宋体" w:eastAsia="宋体"/>
          <w:sz w:val="30"/>
          <w:szCs w:val="30"/>
        </w:rPr>
        <w:t>本案</w:t>
      </w:r>
      <w:r>
        <w:rPr>
          <w:rFonts w:ascii="宋体" w:hAnsi="宋体" w:eastAsia="宋体"/>
          <w:sz w:val="30"/>
          <w:szCs w:val="30"/>
        </w:rPr>
        <w:t>生态环境损害恢复</w:t>
      </w:r>
      <w:r>
        <w:rPr>
          <w:rFonts w:hint="eastAsia" w:ascii="宋体" w:hAnsi="宋体" w:eastAsia="宋体"/>
          <w:sz w:val="30"/>
          <w:szCs w:val="30"/>
        </w:rPr>
        <w:t>费用</w:t>
      </w:r>
      <w:r>
        <w:rPr>
          <w:rFonts w:ascii="宋体" w:hAnsi="宋体" w:eastAsia="宋体"/>
          <w:sz w:val="30"/>
          <w:szCs w:val="30"/>
        </w:rPr>
        <w:t>为</w:t>
      </w:r>
      <w:r>
        <w:rPr>
          <w:rFonts w:hint="eastAsia" w:ascii="仿宋" w:hAnsi="仿宋" w:eastAsia="仿宋"/>
          <w:color w:val="000000" w:themeColor="text1"/>
          <w:sz w:val="28"/>
          <w:szCs w:val="28"/>
          <w14:textFill>
            <w14:solidFill>
              <w14:schemeClr w14:val="tx1"/>
            </w14:solidFill>
          </w14:textFill>
        </w:rPr>
        <w:t>74676.98</w:t>
      </w:r>
      <w:r>
        <w:rPr>
          <w:rFonts w:hint="eastAsia" w:ascii="宋体" w:hAnsi="宋体" w:eastAsia="宋体"/>
          <w:sz w:val="30"/>
          <w:szCs w:val="30"/>
        </w:rPr>
        <w:t>元。</w:t>
      </w:r>
    </w:p>
    <w:p>
      <w:pPr>
        <w:keepNext w:val="0"/>
        <w:keepLines w:val="0"/>
        <w:pageBreakBefore w:val="0"/>
        <w:widowControl w:val="0"/>
        <w:kinsoku/>
        <w:overflowPunct/>
        <w:topLinePunct w:val="0"/>
        <w:autoSpaceDE/>
        <w:autoSpaceDN/>
        <w:bidi w:val="0"/>
        <w:adjustRightInd/>
        <w:snapToGrid/>
        <w:spacing w:line="540" w:lineRule="exact"/>
        <w:ind w:firstLine="600" w:firstLineChars="200"/>
        <w:textAlignment w:val="auto"/>
        <w:rPr>
          <w:rFonts w:ascii="宋体" w:hAnsi="宋体" w:eastAsia="宋体"/>
          <w:sz w:val="30"/>
          <w:szCs w:val="30"/>
        </w:rPr>
      </w:pPr>
      <w:r>
        <w:rPr>
          <w:rFonts w:hint="eastAsia" w:ascii="宋体" w:hAnsi="宋体" w:eastAsia="宋体"/>
          <w:sz w:val="30"/>
          <w:szCs w:val="30"/>
        </w:rPr>
        <w:t>2</w:t>
      </w:r>
      <w:r>
        <w:rPr>
          <w:rFonts w:ascii="宋体" w:hAnsi="宋体" w:eastAsia="宋体"/>
          <w:sz w:val="30"/>
          <w:szCs w:val="30"/>
        </w:rPr>
        <w:t>.本次非法采砂事件的环境损害评估费（记取生态环境损害恢复费用10%）纳入事务性费用统计范围</w:t>
      </w:r>
      <w:r>
        <w:rPr>
          <w:rFonts w:hint="eastAsia" w:ascii="宋体" w:hAnsi="宋体" w:eastAsia="宋体"/>
          <w:sz w:val="30"/>
          <w:szCs w:val="30"/>
        </w:rPr>
        <w:t>，</w:t>
      </w:r>
      <w:r>
        <w:rPr>
          <w:rFonts w:ascii="宋体" w:hAnsi="宋体" w:eastAsia="宋体"/>
          <w:sz w:val="30"/>
          <w:szCs w:val="30"/>
        </w:rPr>
        <w:t>因此计算得到</w:t>
      </w:r>
      <w:r>
        <w:rPr>
          <w:rFonts w:hint="eastAsia" w:ascii="宋体" w:hAnsi="宋体" w:eastAsia="宋体"/>
          <w:sz w:val="30"/>
          <w:szCs w:val="30"/>
        </w:rPr>
        <w:t>本案</w:t>
      </w:r>
      <w:r>
        <w:rPr>
          <w:rFonts w:ascii="宋体" w:hAnsi="宋体" w:eastAsia="宋体"/>
          <w:sz w:val="30"/>
          <w:szCs w:val="30"/>
        </w:rPr>
        <w:t>生态环境损害</w:t>
      </w:r>
      <w:r>
        <w:rPr>
          <w:rFonts w:hint="eastAsia" w:ascii="宋体" w:hAnsi="宋体" w:eastAsia="宋体"/>
          <w:sz w:val="30"/>
          <w:szCs w:val="30"/>
        </w:rPr>
        <w:t>事务性费用为</w:t>
      </w:r>
      <w:r>
        <w:rPr>
          <w:rFonts w:hint="eastAsia" w:ascii="仿宋" w:hAnsi="仿宋" w:eastAsia="仿宋"/>
          <w:color w:val="000000" w:themeColor="text1"/>
          <w:sz w:val="28"/>
          <w:szCs w:val="28"/>
          <w14:textFill>
            <w14:solidFill>
              <w14:schemeClr w14:val="tx1"/>
            </w14:solidFill>
          </w14:textFill>
        </w:rPr>
        <w:t>7467.</w:t>
      </w:r>
      <w:r>
        <w:rPr>
          <w:rFonts w:hint="eastAsia" w:ascii="仿宋" w:hAnsi="仿宋" w:eastAsia="仿宋"/>
          <w:color w:val="000000" w:themeColor="text1"/>
          <w:sz w:val="28"/>
          <w:szCs w:val="28"/>
          <w:lang w:val="en-US" w:eastAsia="zh-CN"/>
          <w14:textFill>
            <w14:solidFill>
              <w14:schemeClr w14:val="tx1"/>
            </w14:solidFill>
          </w14:textFill>
        </w:rPr>
        <w:t>7</w:t>
      </w:r>
      <w:r>
        <w:rPr>
          <w:rFonts w:hint="eastAsia" w:ascii="宋体" w:hAnsi="宋体" w:eastAsia="宋体"/>
          <w:sz w:val="30"/>
          <w:szCs w:val="30"/>
        </w:rPr>
        <w:t>元</w:t>
      </w:r>
      <w:r>
        <w:rPr>
          <w:rFonts w:ascii="宋体" w:hAnsi="宋体" w:eastAsia="宋体"/>
          <w:sz w:val="30"/>
          <w:szCs w:val="30"/>
        </w:rPr>
        <w:t>。</w:t>
      </w:r>
    </w:p>
    <w:p>
      <w:pPr>
        <w:keepNext w:val="0"/>
        <w:keepLines w:val="0"/>
        <w:pageBreakBefore w:val="0"/>
        <w:widowControl w:val="0"/>
        <w:kinsoku/>
        <w:overflowPunct/>
        <w:topLinePunct w:val="0"/>
        <w:autoSpaceDE/>
        <w:autoSpaceDN/>
        <w:bidi w:val="0"/>
        <w:adjustRightInd/>
        <w:snapToGrid/>
        <w:spacing w:line="540" w:lineRule="exact"/>
        <w:ind w:firstLine="600" w:firstLineChars="200"/>
        <w:textAlignment w:val="auto"/>
        <w:rPr>
          <w:rFonts w:ascii="宋体" w:hAnsi="宋体" w:eastAsia="宋体"/>
          <w:sz w:val="30"/>
          <w:szCs w:val="30"/>
        </w:rPr>
      </w:pPr>
      <w:r>
        <w:rPr>
          <w:rFonts w:hint="eastAsia" w:ascii="宋体" w:hAnsi="宋体" w:eastAsia="宋体"/>
          <w:sz w:val="30"/>
          <w:szCs w:val="30"/>
        </w:rPr>
        <w:t>根据前述评估意见，本案造成的生态损害不适用生态修复，你与本案其他赔偿义务人（</w:t>
      </w:r>
      <w:r>
        <w:rPr>
          <w:rFonts w:hint="eastAsia" w:ascii="宋体" w:hAnsi="宋体" w:eastAsia="宋体"/>
          <w:sz w:val="30"/>
          <w:szCs w:val="30"/>
          <w:lang w:eastAsia="zh-CN"/>
        </w:rPr>
        <w:t>姜星等</w:t>
      </w:r>
      <w:r>
        <w:rPr>
          <w:rFonts w:hint="eastAsia" w:ascii="宋体" w:hAnsi="宋体" w:eastAsia="宋体"/>
          <w:sz w:val="30"/>
          <w:szCs w:val="30"/>
        </w:rPr>
        <w:t>）应承担生态环境损害赔偿数额为</w:t>
      </w:r>
      <w:r>
        <w:rPr>
          <w:rFonts w:hint="eastAsia" w:ascii="宋体" w:hAnsi="宋体" w:eastAsia="宋体"/>
          <w:color w:val="000000" w:themeColor="text1"/>
          <w:sz w:val="30"/>
          <w:szCs w:val="30"/>
          <w14:textFill>
            <w14:solidFill>
              <w14:schemeClr w14:val="tx1"/>
            </w14:solidFill>
          </w14:textFill>
        </w:rPr>
        <w:t>82144.68</w:t>
      </w:r>
      <w:r>
        <w:rPr>
          <w:rFonts w:hint="eastAsia" w:ascii="宋体" w:hAnsi="宋体" w:eastAsia="宋体"/>
          <w:sz w:val="30"/>
          <w:szCs w:val="30"/>
        </w:rPr>
        <w:t>元。</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540"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widowControl w:val="0"/>
        <w:kinsoku/>
        <w:overflowPunct/>
        <w:topLinePunct w:val="0"/>
        <w:autoSpaceDE/>
        <w:autoSpaceDN/>
        <w:bidi w:val="0"/>
        <w:adjustRightInd/>
        <w:snapToGrid/>
        <w:spacing w:line="540"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keepNext w:val="0"/>
        <w:keepLines w:val="0"/>
        <w:pageBreakBefore w:val="0"/>
        <w:widowControl w:val="0"/>
        <w:kinsoku/>
        <w:overflowPunct/>
        <w:topLinePunct w:val="0"/>
        <w:autoSpaceDE/>
        <w:autoSpaceDN/>
        <w:bidi w:val="0"/>
        <w:adjustRightInd/>
        <w:snapToGrid/>
        <w:spacing w:line="54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bookmarkStart w:id="1" w:name="OLE_LINK2"/>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bookmarkEnd w:id="1"/>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keepNext w:val="0"/>
        <w:keepLines w:val="0"/>
        <w:pageBreakBefore w:val="0"/>
        <w:widowControl w:val="0"/>
        <w:kinsoku/>
        <w:overflowPunct/>
        <w:topLinePunct w:val="0"/>
        <w:autoSpaceDE/>
        <w:autoSpaceDN/>
        <w:bidi w:val="0"/>
        <w:adjustRightInd/>
        <w:snapToGrid/>
        <w:spacing w:line="54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6"/>
        <w:keepNext w:val="0"/>
        <w:keepLines w:val="0"/>
        <w:pageBreakBefore w:val="0"/>
        <w:widowControl w:val="0"/>
        <w:kinsoku/>
        <w:overflowPunct/>
        <w:topLinePunct w:val="0"/>
        <w:autoSpaceDE/>
        <w:autoSpaceDN/>
        <w:bidi w:val="0"/>
        <w:adjustRightInd/>
        <w:snapToGrid/>
        <w:spacing w:line="54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keepNext w:val="0"/>
        <w:keepLines w:val="0"/>
        <w:pageBreakBefore w:val="0"/>
        <w:widowControl w:val="0"/>
        <w:kinsoku/>
        <w:wordWrap w:val="0"/>
        <w:overflowPunct/>
        <w:topLinePunct w:val="0"/>
        <w:autoSpaceDE/>
        <w:autoSpaceDN/>
        <w:bidi w:val="0"/>
        <w:adjustRightInd/>
        <w:snapToGrid/>
        <w:spacing w:line="540" w:lineRule="exact"/>
        <w:ind w:right="0" w:firstLine="0" w:firstLineChars="0"/>
        <w:jc w:val="center"/>
        <w:textAlignment w:val="auto"/>
        <w:outlineLvl w:val="9"/>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both"/>
        <w:rPr>
          <w:rFonts w:ascii="宋体" w:hAnsi="宋体" w:eastAsia="宋体"/>
          <w:b/>
          <w:bCs/>
          <w:color w:val="000000" w:themeColor="text1"/>
          <w:sz w:val="30"/>
          <w:szCs w:val="30"/>
          <w14:textFill>
            <w14:solidFill>
              <w14:schemeClr w14:val="tx1"/>
            </w14:solidFill>
          </w14:textFill>
        </w:rPr>
      </w:pPr>
    </w:p>
    <w:p>
      <w:pPr>
        <w:pStyle w:val="6"/>
        <w:wordWrap w:val="0"/>
        <w:ind w:firstLine="0" w:firstLineChars="0"/>
        <w:jc w:val="both"/>
        <w:rPr>
          <w:rFonts w:ascii="宋体" w:hAnsi="宋体" w:eastAsia="宋体"/>
          <w:b/>
          <w:bCs/>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D632A8"/>
    <w:rsid w:val="00015633"/>
    <w:rsid w:val="0013021D"/>
    <w:rsid w:val="00212758"/>
    <w:rsid w:val="00216024"/>
    <w:rsid w:val="003E37C6"/>
    <w:rsid w:val="00417211"/>
    <w:rsid w:val="00504FAD"/>
    <w:rsid w:val="00512CA8"/>
    <w:rsid w:val="0058316F"/>
    <w:rsid w:val="00644B82"/>
    <w:rsid w:val="006E72C9"/>
    <w:rsid w:val="00715097"/>
    <w:rsid w:val="00753DDE"/>
    <w:rsid w:val="00781782"/>
    <w:rsid w:val="007879E3"/>
    <w:rsid w:val="00825CCB"/>
    <w:rsid w:val="00826256"/>
    <w:rsid w:val="00871473"/>
    <w:rsid w:val="00983163"/>
    <w:rsid w:val="00A607EE"/>
    <w:rsid w:val="00A62DDF"/>
    <w:rsid w:val="00B47340"/>
    <w:rsid w:val="00BE1B8F"/>
    <w:rsid w:val="00C613BD"/>
    <w:rsid w:val="00CD198D"/>
    <w:rsid w:val="00CD471C"/>
    <w:rsid w:val="00D16875"/>
    <w:rsid w:val="00D632A8"/>
    <w:rsid w:val="00D73C57"/>
    <w:rsid w:val="00DF3935"/>
    <w:rsid w:val="00E25342"/>
    <w:rsid w:val="00E61A19"/>
    <w:rsid w:val="00E93544"/>
    <w:rsid w:val="00EC01B6"/>
    <w:rsid w:val="00EE2FCC"/>
    <w:rsid w:val="00F00A2A"/>
    <w:rsid w:val="00F00C67"/>
    <w:rsid w:val="00FB5953"/>
    <w:rsid w:val="0DBC10D7"/>
    <w:rsid w:val="108C51FB"/>
    <w:rsid w:val="13F05A62"/>
    <w:rsid w:val="1C8860A5"/>
    <w:rsid w:val="21244F9D"/>
    <w:rsid w:val="2FAC3310"/>
    <w:rsid w:val="4E357572"/>
    <w:rsid w:val="52E85275"/>
    <w:rsid w:val="583A260B"/>
    <w:rsid w:val="5C601295"/>
    <w:rsid w:val="5F221F20"/>
    <w:rsid w:val="65A96DEB"/>
    <w:rsid w:val="6F77516F"/>
    <w:rsid w:val="7F7E5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1198</Words>
  <Characters>1319</Characters>
  <Lines>8</Lines>
  <Paragraphs>2</Paragraphs>
  <TotalTime>0</TotalTime>
  <ScaleCrop>false</ScaleCrop>
  <LinksUpToDate>false</LinksUpToDate>
  <CharactersWithSpaces>1385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2023-09-14T00:44:00Z</dcterms:created>
  <dc:creator>office user</dc:creator>
  <cp:lastModifiedBy>黄金波/办公室(行政审批处)/武汉市水务局</cp:lastModifiedBy>
  <dcterms:modified xsi:type="dcterms:W3CDTF">2025-12-24T02:41:20Z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