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color w:val="000000" w:themeColor="text1"/>
          <w:sz w:val="30"/>
          <w:szCs w:val="30"/>
          <w14:textFill>
            <w14:solidFill>
              <w14:schemeClr w14:val="tx1"/>
            </w14:solidFill>
          </w14:textFill>
        </w:rPr>
      </w:pPr>
      <w:r>
        <w:rPr>
          <w:rFonts w:hint="eastAsia" w:ascii="宋体" w:hAnsi="宋体" w:eastAsia="宋体" w:cs="Times New Roman"/>
          <w:b/>
          <w:bCs/>
          <w:color w:val="000000" w:themeColor="text1"/>
          <w:sz w:val="44"/>
          <w:szCs w:val="44"/>
          <w14:textFill>
            <w14:solidFill>
              <w14:schemeClr w14:val="tx1"/>
            </w14:solidFill>
          </w14:textFill>
        </w:rPr>
        <w:t>磋商方案</w:t>
      </w:r>
    </w:p>
    <w:p>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cs="Times New Roman"/>
          <w:b/>
          <w:bCs/>
          <w:color w:val="000000" w:themeColor="text1"/>
          <w:sz w:val="30"/>
          <w:szCs w:val="30"/>
          <w14:textFill>
            <w14:solidFill>
              <w14:schemeClr w14:val="tx1"/>
            </w14:solidFill>
          </w14:textFill>
        </w:rPr>
        <w:t>：</w:t>
      </w:r>
      <w:r>
        <w:rPr>
          <w:rFonts w:hint="eastAsia" w:ascii="宋体" w:hAnsi="宋体" w:eastAsia="宋体" w:cs="Times New Roman"/>
          <w:color w:val="000000" w:themeColor="text1"/>
          <w:sz w:val="30"/>
          <w:szCs w:val="30"/>
          <w14:textFill>
            <w14:solidFill>
              <w14:schemeClr w14:val="tx1"/>
            </w14:solidFill>
          </w14:textFill>
        </w:rPr>
        <w:t>武汉市水务局</w:t>
      </w:r>
    </w:p>
    <w:p>
      <w:pPr>
        <w:rPr>
          <w:rFonts w:hint="eastAsia" w:ascii="宋体" w:hAnsi="宋体" w:eastAsia="宋体" w:cs="Times New Roman"/>
          <w:b w:val="0"/>
          <w:bCs/>
          <w:color w:val="000000" w:themeColor="text1"/>
          <w:sz w:val="30"/>
          <w:szCs w:val="30"/>
          <w:lang w:val="en-US" w:eastAsia="zh-CN"/>
          <w14:textFill>
            <w14:solidFill>
              <w14:schemeClr w14:val="tx1"/>
            </w14:solidFill>
          </w14:textFill>
        </w:rPr>
      </w:pPr>
      <w:r>
        <w:rPr>
          <w:rFonts w:hint="eastAsia" w:ascii="宋体" w:hAnsi="宋体" w:eastAsia="宋体" w:cs="Times New Roman"/>
          <w:b/>
          <w:bCs/>
          <w:color w:val="000000" w:themeColor="text1"/>
          <w:sz w:val="30"/>
          <w:szCs w:val="30"/>
          <w14:textFill>
            <w14:solidFill>
              <w14:schemeClr w14:val="tx1"/>
            </w14:solidFill>
          </w14:textFill>
        </w:rPr>
        <w:t>赔偿义务人：</w:t>
      </w:r>
      <w:r>
        <w:rPr>
          <w:rFonts w:hint="eastAsia" w:ascii="宋体" w:hAnsi="宋体" w:eastAsia="宋体" w:cs="Times New Roman"/>
          <w:b w:val="0"/>
          <w:bCs/>
          <w:color w:val="000000" w:themeColor="text1"/>
          <w:sz w:val="30"/>
          <w:szCs w:val="30"/>
          <w:lang w:eastAsia="zh-CN"/>
          <w14:textFill>
            <w14:solidFill>
              <w14:schemeClr w14:val="tx1"/>
            </w14:solidFill>
          </w14:textFill>
        </w:rPr>
        <w:t>唐妙泽</w:t>
      </w:r>
    </w:p>
    <w:p>
      <w:pPr>
        <w:rPr>
          <w:rFonts w:hint="eastAsia" w:ascii="宋体" w:hAnsi="宋体" w:eastAsia="宋体" w:cs="Times New Roman"/>
          <w:bCs/>
          <w:color w:val="000000" w:themeColor="text1"/>
          <w:sz w:val="30"/>
          <w:szCs w:val="30"/>
          <w14:textFill>
            <w14:solidFill>
              <w14:schemeClr w14:val="tx1"/>
            </w14:solidFill>
          </w14:textFill>
        </w:rPr>
      </w:pPr>
      <w:r>
        <w:rPr>
          <w:rFonts w:hint="eastAsia" w:ascii="宋体" w:hAnsi="宋体" w:eastAsia="宋体" w:cs="Times New Roman"/>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42011219</w:t>
      </w:r>
      <w:r>
        <w:rPr>
          <w:rFonts w:hint="eastAsia" w:ascii="宋体" w:hAnsi="宋体" w:eastAsia="宋体"/>
          <w:bCs/>
          <w:color w:val="000000" w:themeColor="text1"/>
          <w:sz w:val="30"/>
          <w:szCs w:val="30"/>
          <w:lang w:val="en-US" w:eastAsia="zh-CN"/>
          <w14:textFill>
            <w14:solidFill>
              <w14:schemeClr w14:val="tx1"/>
            </w14:solidFill>
          </w14:textFill>
        </w:rPr>
        <w:t>8</w:t>
      </w:r>
      <w:r>
        <w:rPr>
          <w:rFonts w:hint="eastAsia" w:ascii="宋体" w:hAnsi="宋体" w:eastAsia="宋体"/>
          <w:bCs/>
          <w:color w:val="000000" w:themeColor="text1"/>
          <w:sz w:val="30"/>
          <w:szCs w:val="30"/>
          <w14:textFill>
            <w14:solidFill>
              <w14:schemeClr w14:val="tx1"/>
            </w14:solidFill>
          </w14:textFill>
        </w:rPr>
        <w:t>4</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b/>
          <w:bCs/>
          <w:color w:val="000000" w:themeColor="text1"/>
          <w:sz w:val="30"/>
          <w:szCs w:val="30"/>
          <w14:textFill>
            <w14:solidFill>
              <w14:schemeClr w14:val="tx1"/>
            </w14:solidFill>
          </w14:textFill>
        </w:rPr>
        <w:t>地址：</w:t>
      </w:r>
      <w:r>
        <w:rPr>
          <w:rFonts w:hint="eastAsia" w:ascii="宋体" w:hAnsi="宋体" w:eastAsia="宋体" w:cs="Times New Roman"/>
          <w:color w:val="000000" w:themeColor="text1"/>
          <w:sz w:val="30"/>
          <w:szCs w:val="30"/>
          <w14:textFill>
            <w14:solidFill>
              <w14:schemeClr w14:val="tx1"/>
            </w14:solidFill>
          </w14:textFill>
        </w:rPr>
        <w:t>湖北省武汉市东西湖区新沟镇工农巷17号</w:t>
      </w:r>
    </w:p>
    <w:p>
      <w:pPr>
        <w:spacing w:after="240"/>
        <w:rPr>
          <w:rFonts w:hint="eastAsia" w:ascii="宋体" w:hAnsi="宋体" w:eastAsia="宋体" w:cs="Times New Roman"/>
          <w:color w:val="000000" w:themeColor="text1"/>
          <w:sz w:val="30"/>
          <w:szCs w:val="30"/>
          <w14:textFill>
            <w14:solidFill>
              <w14:schemeClr w14:val="tx1"/>
            </w14:solidFill>
          </w14:textFill>
        </w:rPr>
      </w:pPr>
    </w:p>
    <w:p>
      <w:pPr>
        <w:widowControl w:val="0"/>
        <w:numPr>
          <w:ilvl w:val="0"/>
          <w:numId w:val="1"/>
        </w:numPr>
        <w:ind w:left="0" w:firstLine="602" w:firstLineChars="200"/>
        <w:jc w:val="both"/>
        <w:rPr>
          <w:rFonts w:ascii="宋体" w:hAnsi="宋体" w:eastAsia="宋体" w:cs="Times New Roman"/>
          <w:b/>
          <w:bCs/>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widowControl w:val="0"/>
        <w:numPr>
          <w:ilvl w:val="0"/>
          <w:numId w:val="1"/>
        </w:numPr>
        <w:ind w:left="0" w:firstLine="602" w:firstLineChars="200"/>
        <w:jc w:val="both"/>
        <w:rPr>
          <w:rFonts w:ascii="宋体" w:hAnsi="宋体" w:eastAsia="宋体" w:cs="Times New Roman"/>
          <w:b/>
          <w:bCs/>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widowControl w:val="0"/>
        <w:ind w:firstLine="600" w:firstLineChars="200"/>
        <w:jc w:val="both"/>
        <w:rPr>
          <w:rFonts w:ascii="宋体" w:hAnsi="宋体" w:eastAsia="宋体" w:cs="Times New Roman"/>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s="Times New Roman"/>
          <w:color w:val="000000" w:themeColor="text1"/>
          <w:kern w:val="2"/>
          <w:sz w:val="30"/>
          <w:szCs w:val="30"/>
          <w:lang w:val="en-US" w:eastAsia="zh-CN" w:bidi="ar-SA"/>
          <w14:textFill>
            <w14:solidFill>
              <w14:schemeClr w14:val="tx1"/>
            </w14:solidFill>
          </w14:textFill>
        </w:rPr>
        <w:t>。</w:t>
      </w:r>
    </w:p>
    <w:p>
      <w:pPr>
        <w:widowControl w:val="0"/>
        <w:numPr>
          <w:ilvl w:val="0"/>
          <w:numId w:val="1"/>
        </w:numPr>
        <w:ind w:left="0" w:firstLine="602" w:firstLineChars="200"/>
        <w:jc w:val="both"/>
        <w:rPr>
          <w:rFonts w:ascii="宋体" w:hAnsi="宋体" w:eastAsia="宋体" w:cs="Times New Roman"/>
          <w:b/>
          <w:bCs/>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t>赔偿数额</w:t>
      </w:r>
      <w:r>
        <w:rPr>
          <w:rFonts w:ascii="宋体" w:hAnsi="宋体" w:eastAsia="宋体" w:cs="Times New Roman"/>
          <w:b/>
          <w:bCs/>
          <w:color w:val="000000" w:themeColor="text1"/>
          <w:kern w:val="2"/>
          <w:sz w:val="30"/>
          <w:szCs w:val="30"/>
          <w:lang w:val="en-US" w:eastAsia="zh-CN" w:bidi="ar-SA"/>
          <w14:textFill>
            <w14:solidFill>
              <w14:schemeClr w14:val="tx1"/>
            </w14:solidFill>
          </w14:textFill>
        </w:rPr>
        <w:t>或修复要求</w:t>
      </w:r>
    </w:p>
    <w:p>
      <w:pPr>
        <w:ind w:firstLine="600" w:firstLineChars="200"/>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2</w:t>
      </w:r>
      <w:r>
        <w:rPr>
          <w:rFonts w:ascii="宋体" w:hAnsi="宋体" w:eastAsia="宋体" w:cs="Times New Roman"/>
          <w:color w:val="000000" w:themeColor="text1"/>
          <w:sz w:val="30"/>
          <w:szCs w:val="30"/>
          <w14:textFill>
            <w14:solidFill>
              <w14:schemeClr w14:val="tx1"/>
            </w14:solidFill>
          </w14:textFill>
        </w:rPr>
        <w:t>023</w:t>
      </w:r>
      <w:r>
        <w:rPr>
          <w:rFonts w:hint="eastAsia" w:ascii="宋体" w:hAnsi="宋体" w:eastAsia="宋体" w:cs="Times New Roman"/>
          <w:color w:val="000000" w:themeColor="text1"/>
          <w:sz w:val="30"/>
          <w:szCs w:val="30"/>
          <w14:textFill>
            <w14:solidFill>
              <w14:schemeClr w14:val="tx1"/>
            </w14:solidFill>
          </w14:textFill>
        </w:rPr>
        <w:t>年3月，</w:t>
      </w:r>
      <w:r>
        <w:rPr>
          <w:rFonts w:hint="eastAsia" w:ascii="宋体" w:hAnsi="宋体" w:eastAsia="宋体" w:cs="Times New Roman"/>
          <w:color w:val="000000" w:themeColor="text1"/>
          <w:sz w:val="30"/>
          <w:szCs w:val="30"/>
          <w:lang w:eastAsia="zh-CN"/>
          <w14:textFill>
            <w14:solidFill>
              <w14:schemeClr w14:val="tx1"/>
            </w14:solidFill>
          </w14:textFill>
        </w:rPr>
        <w:t>评估机构</w:t>
      </w:r>
      <w:r>
        <w:rPr>
          <w:rFonts w:hint="eastAsia" w:ascii="宋体" w:hAnsi="宋体" w:eastAsia="宋体" w:cs="Times New Roman"/>
          <w:color w:val="000000" w:themeColor="text1"/>
          <w:sz w:val="30"/>
          <w:szCs w:val="30"/>
          <w14:textFill>
            <w14:solidFill>
              <w14:schemeClr w14:val="tx1"/>
            </w14:solidFill>
          </w14:textFill>
        </w:rPr>
        <w:t>对包含前述案件在内的</w:t>
      </w:r>
      <w:r>
        <w:rPr>
          <w:rFonts w:hint="eastAsia" w:ascii="宋体" w:hAnsi="宋体" w:eastAsia="宋体" w:cs="Times New Roman"/>
          <w:color w:val="000000" w:themeColor="text1"/>
          <w:sz w:val="30"/>
          <w:szCs w:val="30"/>
          <w:lang w:eastAsia="zh-CN"/>
          <w14:textFill>
            <w14:solidFill>
              <w14:schemeClr w14:val="tx1"/>
            </w14:solidFill>
          </w14:textFill>
        </w:rPr>
        <w:t>一批</w:t>
      </w:r>
      <w:r>
        <w:rPr>
          <w:rFonts w:hint="eastAsia" w:ascii="宋体" w:hAnsi="宋体" w:eastAsia="宋体" w:cs="Times New Roman"/>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s="Times New Roman"/>
          <w:color w:val="000000" w:themeColor="text1"/>
          <w:sz w:val="30"/>
          <w:szCs w:val="30"/>
          <w14:textFill>
            <w14:solidFill>
              <w14:schemeClr w14:val="tx1"/>
            </w14:solidFill>
          </w14:textFill>
        </w:rPr>
        <w:t>（以下简称《评估报告》）。</w:t>
      </w:r>
    </w:p>
    <w:p>
      <w:pPr>
        <w:ind w:firstLine="600" w:firstLineChars="200"/>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经专家评估分析认为：</w:t>
      </w:r>
      <w:r>
        <w:rPr>
          <w:rFonts w:ascii="宋体" w:hAnsi="宋体" w:eastAsia="宋体" w:cs="Times New Roman"/>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s="Times New Roman"/>
          <w:color w:val="000000" w:themeColor="text1"/>
          <w:sz w:val="30"/>
          <w:szCs w:val="30"/>
          <w14:textFill>
            <w14:solidFill>
              <w14:schemeClr w14:val="tx1"/>
            </w14:solidFill>
          </w14:textFill>
        </w:rPr>
      </w:pPr>
      <w:r>
        <w:rPr>
          <w:rFonts w:ascii="宋体" w:hAnsi="宋体" w:eastAsia="宋体" w:cs="Times New Roman"/>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s="Times New Roman"/>
          <w:color w:val="000000" w:themeColor="text1"/>
          <w:sz w:val="30"/>
          <w:szCs w:val="30"/>
          <w14:textFill>
            <w14:solidFill>
              <w14:schemeClr w14:val="tx1"/>
            </w14:solidFill>
          </w14:textFill>
        </w:rPr>
        <w:t>。</w:t>
      </w:r>
      <w:r>
        <w:rPr>
          <w:rFonts w:ascii="宋体" w:hAnsi="宋体" w:eastAsia="宋体" w:cs="Times New Roman"/>
          <w:color w:val="000000" w:themeColor="text1"/>
          <w:sz w:val="30"/>
          <w:szCs w:val="30"/>
          <w14:textFill>
            <w14:solidFill>
              <w14:schemeClr w14:val="tx1"/>
            </w14:solidFill>
          </w14:textFill>
        </w:rPr>
        <w:t>因此计算得到</w:t>
      </w:r>
      <w:r>
        <w:rPr>
          <w:rFonts w:hint="eastAsia" w:ascii="宋体" w:hAnsi="宋体" w:eastAsia="宋体" w:cs="Times New Roman"/>
          <w:color w:val="000000" w:themeColor="text1"/>
          <w:sz w:val="30"/>
          <w:szCs w:val="30"/>
          <w14:textFill>
            <w14:solidFill>
              <w14:schemeClr w14:val="tx1"/>
            </w14:solidFill>
          </w14:textFill>
        </w:rPr>
        <w:t>本案</w:t>
      </w:r>
      <w:r>
        <w:rPr>
          <w:rFonts w:ascii="宋体" w:hAnsi="宋体" w:eastAsia="宋体" w:cs="Times New Roman"/>
          <w:color w:val="000000" w:themeColor="text1"/>
          <w:sz w:val="30"/>
          <w:szCs w:val="30"/>
          <w14:textFill>
            <w14:solidFill>
              <w14:schemeClr w14:val="tx1"/>
            </w14:solidFill>
          </w14:textFill>
        </w:rPr>
        <w:t>生态环境损害恢复</w:t>
      </w:r>
      <w:r>
        <w:rPr>
          <w:rFonts w:hint="eastAsia" w:ascii="宋体" w:hAnsi="宋体" w:eastAsia="宋体" w:cs="Times New Roman"/>
          <w:color w:val="000000" w:themeColor="text1"/>
          <w:sz w:val="30"/>
          <w:szCs w:val="30"/>
          <w14:textFill>
            <w14:solidFill>
              <w14:schemeClr w14:val="tx1"/>
            </w14:solidFill>
          </w14:textFill>
        </w:rPr>
        <w:t>费用</w:t>
      </w:r>
      <w:r>
        <w:rPr>
          <w:rFonts w:ascii="宋体" w:hAnsi="宋体" w:eastAsia="宋体" w:cs="Times New Roman"/>
          <w:color w:val="000000" w:themeColor="text1"/>
          <w:sz w:val="30"/>
          <w:szCs w:val="30"/>
          <w14:textFill>
            <w14:solidFill>
              <w14:schemeClr w14:val="tx1"/>
            </w14:solidFill>
          </w14:textFill>
        </w:rPr>
        <w:t>为</w:t>
      </w:r>
      <w:r>
        <w:rPr>
          <w:rFonts w:hint="eastAsia" w:ascii="宋体" w:hAnsi="宋体" w:eastAsia="宋体" w:cs="Times New Roman"/>
          <w:color w:val="000000" w:themeColor="text1"/>
          <w:sz w:val="30"/>
          <w:szCs w:val="30"/>
          <w14:textFill>
            <w14:solidFill>
              <w14:schemeClr w14:val="tx1"/>
            </w14:solidFill>
          </w14:textFill>
        </w:rPr>
        <w:t>1</w:t>
      </w:r>
      <w:r>
        <w:rPr>
          <w:rFonts w:ascii="宋体" w:hAnsi="宋体" w:eastAsia="宋体" w:cs="Times New Roman"/>
          <w:color w:val="000000" w:themeColor="text1"/>
          <w:sz w:val="30"/>
          <w:szCs w:val="30"/>
          <w14:textFill>
            <w14:solidFill>
              <w14:schemeClr w14:val="tx1"/>
            </w14:solidFill>
          </w14:textFill>
        </w:rPr>
        <w:t>804678.0</w:t>
      </w:r>
      <w:r>
        <w:rPr>
          <w:rFonts w:hint="eastAsia" w:ascii="宋体" w:hAnsi="宋体" w:eastAsia="宋体" w:cs="Times New Roman"/>
          <w:color w:val="000000" w:themeColor="text1"/>
          <w:sz w:val="30"/>
          <w:szCs w:val="30"/>
          <w:lang w:val="en-US" w:eastAsia="zh-CN"/>
          <w14:textFill>
            <w14:solidFill>
              <w14:schemeClr w14:val="tx1"/>
            </w14:solidFill>
          </w14:textFill>
        </w:rPr>
        <w:t>6</w:t>
      </w:r>
      <w:r>
        <w:rPr>
          <w:rFonts w:hint="eastAsia" w:ascii="宋体" w:hAnsi="宋体" w:eastAsia="宋体" w:cs="Times New Roman"/>
          <w:color w:val="000000" w:themeColor="text1"/>
          <w:sz w:val="30"/>
          <w:szCs w:val="30"/>
          <w14:textFill>
            <w14:solidFill>
              <w14:schemeClr w14:val="tx1"/>
            </w14:solidFill>
          </w14:textFill>
        </w:rPr>
        <w:t>元。</w:t>
      </w:r>
    </w:p>
    <w:p>
      <w:pPr>
        <w:ind w:firstLine="600" w:firstLineChars="200"/>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2</w:t>
      </w:r>
      <w:r>
        <w:rPr>
          <w:rFonts w:ascii="宋体" w:hAnsi="宋体" w:eastAsia="宋体" w:cs="Times New Roman"/>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s="Times New Roman"/>
          <w:color w:val="000000" w:themeColor="text1"/>
          <w:sz w:val="30"/>
          <w:szCs w:val="30"/>
          <w14:textFill>
            <w14:solidFill>
              <w14:schemeClr w14:val="tx1"/>
            </w14:solidFill>
          </w14:textFill>
        </w:rPr>
        <w:t>，</w:t>
      </w:r>
      <w:r>
        <w:rPr>
          <w:rFonts w:ascii="宋体" w:hAnsi="宋体" w:eastAsia="宋体" w:cs="Times New Roman"/>
          <w:color w:val="000000" w:themeColor="text1"/>
          <w:sz w:val="30"/>
          <w:szCs w:val="30"/>
          <w14:textFill>
            <w14:solidFill>
              <w14:schemeClr w14:val="tx1"/>
            </w14:solidFill>
          </w14:textFill>
        </w:rPr>
        <w:t>因此计算得到</w:t>
      </w:r>
      <w:r>
        <w:rPr>
          <w:rFonts w:hint="eastAsia" w:ascii="宋体" w:hAnsi="宋体" w:eastAsia="宋体" w:cs="Times New Roman"/>
          <w:color w:val="000000" w:themeColor="text1"/>
          <w:sz w:val="30"/>
          <w:szCs w:val="30"/>
          <w14:textFill>
            <w14:solidFill>
              <w14:schemeClr w14:val="tx1"/>
            </w14:solidFill>
          </w14:textFill>
        </w:rPr>
        <w:t>本案</w:t>
      </w:r>
      <w:r>
        <w:rPr>
          <w:rFonts w:ascii="宋体" w:hAnsi="宋体" w:eastAsia="宋体" w:cs="Times New Roman"/>
          <w:color w:val="000000" w:themeColor="text1"/>
          <w:sz w:val="30"/>
          <w:szCs w:val="30"/>
          <w14:textFill>
            <w14:solidFill>
              <w14:schemeClr w14:val="tx1"/>
            </w14:solidFill>
          </w14:textFill>
        </w:rPr>
        <w:t>生态环境损害</w:t>
      </w:r>
      <w:r>
        <w:rPr>
          <w:rFonts w:hint="eastAsia" w:ascii="宋体" w:hAnsi="宋体" w:eastAsia="宋体" w:cs="Times New Roman"/>
          <w:color w:val="000000" w:themeColor="text1"/>
          <w:sz w:val="30"/>
          <w:szCs w:val="30"/>
          <w14:textFill>
            <w14:solidFill>
              <w14:schemeClr w14:val="tx1"/>
            </w14:solidFill>
          </w14:textFill>
        </w:rPr>
        <w:t>事务性费用为1</w:t>
      </w:r>
      <w:r>
        <w:rPr>
          <w:rFonts w:ascii="宋体" w:hAnsi="宋体" w:eastAsia="宋体" w:cs="Times New Roman"/>
          <w:color w:val="000000" w:themeColor="text1"/>
          <w:sz w:val="30"/>
          <w:szCs w:val="30"/>
          <w14:textFill>
            <w14:solidFill>
              <w14:schemeClr w14:val="tx1"/>
            </w14:solidFill>
          </w14:textFill>
        </w:rPr>
        <w:t>80467</w:t>
      </w:r>
      <w:r>
        <w:rPr>
          <w:rFonts w:hint="eastAsia" w:ascii="宋体" w:hAnsi="宋体" w:eastAsia="宋体" w:cs="Times New Roman"/>
          <w:color w:val="000000" w:themeColor="text1"/>
          <w:sz w:val="30"/>
          <w:szCs w:val="30"/>
          <w14:textFill>
            <w14:solidFill>
              <w14:schemeClr w14:val="tx1"/>
            </w14:solidFill>
          </w14:textFill>
        </w:rPr>
        <w:t>.</w:t>
      </w:r>
      <w:r>
        <w:rPr>
          <w:rFonts w:ascii="宋体" w:hAnsi="宋体" w:eastAsia="宋体" w:cs="Times New Roman"/>
          <w:color w:val="000000" w:themeColor="text1"/>
          <w:sz w:val="30"/>
          <w:szCs w:val="30"/>
          <w14:textFill>
            <w14:solidFill>
              <w14:schemeClr w14:val="tx1"/>
            </w14:solidFill>
          </w14:textFill>
        </w:rPr>
        <w:t>81</w:t>
      </w:r>
      <w:r>
        <w:rPr>
          <w:rFonts w:hint="eastAsia" w:ascii="宋体" w:hAnsi="宋体" w:eastAsia="宋体" w:cs="Times New Roman"/>
          <w:color w:val="000000" w:themeColor="text1"/>
          <w:sz w:val="30"/>
          <w:szCs w:val="30"/>
          <w14:textFill>
            <w14:solidFill>
              <w14:schemeClr w14:val="tx1"/>
            </w14:solidFill>
          </w14:textFill>
        </w:rPr>
        <w:t>元</w:t>
      </w:r>
      <w:r>
        <w:rPr>
          <w:rFonts w:ascii="宋体" w:hAnsi="宋体" w:eastAsia="宋体" w:cs="Times New Roman"/>
          <w:color w:val="000000" w:themeColor="text1"/>
          <w:sz w:val="30"/>
          <w:szCs w:val="30"/>
          <w14:textFill>
            <w14:solidFill>
              <w14:schemeClr w14:val="tx1"/>
            </w14:solidFill>
          </w14:textFill>
        </w:rPr>
        <w:t>。</w:t>
      </w:r>
    </w:p>
    <w:p>
      <w:pPr>
        <w:ind w:firstLine="600" w:firstLineChars="200"/>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根据前述评估意见，本案造成的生态损害不适用生态修复，赔偿义务人应承担生态环境损害赔偿数额为1</w:t>
      </w:r>
      <w:r>
        <w:rPr>
          <w:rFonts w:ascii="宋体" w:hAnsi="宋体" w:eastAsia="宋体" w:cs="Times New Roman"/>
          <w:color w:val="000000" w:themeColor="text1"/>
          <w:sz w:val="30"/>
          <w:szCs w:val="30"/>
          <w14:textFill>
            <w14:solidFill>
              <w14:schemeClr w14:val="tx1"/>
            </w14:solidFill>
          </w14:textFill>
        </w:rPr>
        <w:t>985145.8</w:t>
      </w:r>
      <w:r>
        <w:rPr>
          <w:rFonts w:hint="eastAsia" w:ascii="宋体" w:hAnsi="宋体" w:eastAsia="宋体" w:cs="Times New Roman"/>
          <w:color w:val="000000" w:themeColor="text1"/>
          <w:sz w:val="30"/>
          <w:szCs w:val="30"/>
          <w:lang w:val="en-US" w:eastAsia="zh-CN"/>
          <w14:textFill>
            <w14:solidFill>
              <w14:schemeClr w14:val="tx1"/>
            </w14:solidFill>
          </w14:textFill>
        </w:rPr>
        <w:t>7</w:t>
      </w:r>
      <w:r>
        <w:rPr>
          <w:rFonts w:hint="eastAsia" w:ascii="宋体" w:hAnsi="宋体" w:eastAsia="宋体" w:cs="Times New Roman"/>
          <w:color w:val="000000" w:themeColor="text1"/>
          <w:sz w:val="30"/>
          <w:szCs w:val="30"/>
          <w14:textFill>
            <w14:solidFill>
              <w14:schemeClr w14:val="tx1"/>
            </w14:solidFill>
          </w14:textFill>
        </w:rPr>
        <w:t>元。</w:t>
      </w:r>
    </w:p>
    <w:p>
      <w:pPr>
        <w:widowControl w:val="0"/>
        <w:numPr>
          <w:ilvl w:val="0"/>
          <w:numId w:val="1"/>
        </w:numPr>
        <w:ind w:left="0" w:firstLine="602" w:firstLineChars="200"/>
        <w:jc w:val="both"/>
        <w:rPr>
          <w:rFonts w:ascii="宋体" w:hAnsi="宋体" w:eastAsia="宋体" w:cs="Times New Roman"/>
          <w:b/>
          <w:bCs/>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2"/>
          <w:sz w:val="30"/>
          <w:szCs w:val="30"/>
          <w:lang w:val="en-US" w:eastAsia="zh-CN" w:bidi="ar-SA"/>
          <w14:textFill>
            <w14:solidFill>
              <w14:schemeClr w14:val="tx1"/>
            </w14:solidFill>
          </w14:textFill>
        </w:rPr>
        <w:t>履行赔偿责任的方式和期限</w:t>
      </w:r>
    </w:p>
    <w:p>
      <w:pPr>
        <w:widowControl w:val="0"/>
        <w:ind w:firstLine="600" w:firstLineChars="200"/>
        <w:jc w:val="both"/>
        <w:rPr>
          <w:rFonts w:ascii="宋体" w:hAnsi="宋体" w:eastAsia="宋体" w:cs="Times New Roman"/>
          <w:color w:val="000000" w:themeColor="text1"/>
          <w:kern w:val="2"/>
          <w:sz w:val="30"/>
          <w:szCs w:val="30"/>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30"/>
          <w:lang w:val="en-US" w:eastAsia="zh-CN" w:bidi="ar-SA"/>
          <w14:textFill>
            <w14:solidFill>
              <w14:schemeClr w14:val="tx1"/>
            </w14:solidFill>
          </w14:textFill>
        </w:rPr>
        <w:t>赔偿义务人应在与赔偿权利人签订赔偿协议后</w:t>
      </w:r>
      <w:r>
        <w:rPr>
          <w:rFonts w:ascii="宋体" w:hAnsi="宋体" w:eastAsia="宋体" w:cs="Times New Roman"/>
          <w:color w:val="000000" w:themeColor="text1"/>
          <w:kern w:val="2"/>
          <w:sz w:val="30"/>
          <w:szCs w:val="30"/>
          <w:lang w:val="en-US" w:eastAsia="zh-CN" w:bidi="ar-SA"/>
          <w14:textFill>
            <w14:solidFill>
              <w14:schemeClr w14:val="tx1"/>
            </w14:solidFill>
          </w14:textFill>
        </w:rPr>
        <w:t>15</w:t>
      </w:r>
      <w:r>
        <w:rPr>
          <w:rFonts w:hint="eastAsia" w:ascii="宋体" w:hAnsi="宋体" w:eastAsia="宋体" w:cs="Times New Roman"/>
          <w:color w:val="000000" w:themeColor="text1"/>
          <w:kern w:val="2"/>
          <w:sz w:val="30"/>
          <w:szCs w:val="30"/>
          <w:lang w:val="en-US" w:eastAsia="zh-CN" w:bidi="ar-SA"/>
          <w14:textFill>
            <w14:solidFill>
              <w14:schemeClr w14:val="tx1"/>
            </w14:solidFill>
          </w14:textFill>
        </w:rPr>
        <w:t>日内，向武汉市级财政缴纳全部赔偿费用共计1</w:t>
      </w:r>
      <w:r>
        <w:rPr>
          <w:rFonts w:ascii="宋体" w:hAnsi="宋体" w:eastAsia="宋体" w:cs="Times New Roman"/>
          <w:color w:val="000000" w:themeColor="text1"/>
          <w:kern w:val="2"/>
          <w:sz w:val="30"/>
          <w:szCs w:val="30"/>
          <w:lang w:val="en-US" w:eastAsia="zh-CN" w:bidi="ar-SA"/>
          <w14:textFill>
            <w14:solidFill>
              <w14:schemeClr w14:val="tx1"/>
            </w14:solidFill>
          </w14:textFill>
        </w:rPr>
        <w:t>985145.8</w:t>
      </w:r>
      <w:r>
        <w:rPr>
          <w:rFonts w:hint="eastAsia" w:ascii="宋体" w:hAnsi="宋体" w:eastAsia="宋体" w:cs="Times New Roman"/>
          <w:color w:val="000000" w:themeColor="text1"/>
          <w:kern w:val="2"/>
          <w:sz w:val="30"/>
          <w:szCs w:val="30"/>
          <w:lang w:val="en-US" w:eastAsia="zh-CN" w:bidi="ar-SA"/>
          <w14:textFill>
            <w14:solidFill>
              <w14:schemeClr w14:val="tx1"/>
            </w14:solidFill>
          </w14:textFill>
        </w:rPr>
        <w:t>7元。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color w:val="000000" w:themeColor="text1"/>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4"/>
        <w:lang w:val="en-US" w:eastAsia="zh-CN" w:bidi="ar-SA"/>
      </w:rPr>
      <w:id w:val="-1874531937"/>
      <w:docPartObj>
        <w:docPartGallery w:val="autotext"/>
      </w:docPartObj>
    </w:sdtPr>
    <w:sdtEndPr>
      <w:rPr>
        <w:rFonts w:ascii="等线" w:hAnsi="等线" w:eastAsia="等线" w:cs="Times New Roman"/>
        <w:kern w:val="2"/>
        <w:sz w:val="18"/>
        <w:szCs w:val="18"/>
        <w:lang w:val="en-US" w:eastAsia="zh-CN" w:bidi="ar-SA"/>
      </w:rPr>
    </w:sdtEndPr>
    <w:sdtContent>
      <w:p>
        <w:pPr>
          <w:framePr w:wrap="around"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21"/>
            <w:szCs w:val="24"/>
            <w:lang w:val="en-US" w:eastAsia="zh-CN" w:bidi="ar-SA"/>
          </w:rPr>
          <w:fldChar w:fldCharType="begin"/>
        </w:r>
        <w:r>
          <w:rPr>
            <w:rFonts w:ascii="等线" w:hAnsi="等线" w:eastAsia="等线" w:cs="Times New Roman"/>
            <w:kern w:val="2"/>
            <w:sz w:val="21"/>
            <w:szCs w:val="24"/>
            <w:lang w:val="en-US" w:eastAsia="zh-CN" w:bidi="ar-SA"/>
          </w:rPr>
          <w:instrText xml:space="preserve"> PAGE </w:instrText>
        </w:r>
        <w:r>
          <w:rPr>
            <w:rFonts w:ascii="等线" w:hAnsi="等线" w:eastAsia="等线" w:cs="Times New Roman"/>
            <w:kern w:val="2"/>
            <w:sz w:val="21"/>
            <w:szCs w:val="24"/>
            <w:lang w:val="en-US" w:eastAsia="zh-CN" w:bidi="ar-SA"/>
          </w:rPr>
          <w:fldChar w:fldCharType="separate"/>
        </w:r>
        <w:r>
          <w:rPr>
            <w:rFonts w:ascii="等线" w:hAnsi="等线" w:eastAsia="等线" w:cs="Times New Roman"/>
            <w:kern w:val="2"/>
            <w:sz w:val="21"/>
            <w:szCs w:val="24"/>
            <w:lang w:val="en-US" w:eastAsia="zh-CN" w:bidi="ar-SA"/>
          </w:rPr>
          <w:t>1</w:t>
        </w:r>
        <w:r>
          <w:rPr>
            <w:rFonts w:ascii="等线" w:hAnsi="等线" w:eastAsia="等线" w:cs="Times New Roman"/>
            <w:kern w:val="2"/>
            <w:sz w:val="21"/>
            <w:szCs w:val="24"/>
            <w:lang w:val="en-US" w:eastAsia="zh-CN" w:bidi="ar-SA"/>
          </w:rPr>
          <w:fldChar w:fldCharType="end"/>
        </w:r>
      </w:p>
    </w:sdtContent>
  </w:sd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4"/>
        <w:lang w:val="en-US" w:eastAsia="zh-CN" w:bidi="ar-SA"/>
      </w:rPr>
      <w:id w:val="-1340235543"/>
      <w:docPartObj>
        <w:docPartGallery w:val="autotext"/>
      </w:docPartObj>
    </w:sdtPr>
    <w:sdtEndPr>
      <w:rPr>
        <w:rFonts w:ascii="等线" w:hAnsi="等线" w:eastAsia="等线" w:cs="Times New Roman"/>
        <w:kern w:val="2"/>
        <w:sz w:val="18"/>
        <w:szCs w:val="18"/>
        <w:lang w:val="en-US" w:eastAsia="zh-CN" w:bidi="ar-SA"/>
      </w:rPr>
    </w:sdtEndPr>
    <w:sdtContent>
      <w:p>
        <w:pPr>
          <w:framePr w:wrap="around"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21"/>
            <w:szCs w:val="24"/>
            <w:lang w:val="en-US" w:eastAsia="zh-CN" w:bidi="ar-SA"/>
          </w:rPr>
          <w:fldChar w:fldCharType="begin"/>
        </w:r>
        <w:r>
          <w:rPr>
            <w:rFonts w:ascii="等线" w:hAnsi="等线" w:eastAsia="等线" w:cs="Times New Roman"/>
            <w:kern w:val="2"/>
            <w:sz w:val="21"/>
            <w:szCs w:val="24"/>
            <w:lang w:val="en-US" w:eastAsia="zh-CN" w:bidi="ar-SA"/>
          </w:rPr>
          <w:instrText xml:space="preserve"> PAGE </w:instrText>
        </w:r>
        <w:r>
          <w:rPr>
            <w:rFonts w:ascii="等线" w:hAnsi="等线" w:eastAsia="等线" w:cs="Times New Roman"/>
            <w:kern w:val="2"/>
            <w:sz w:val="21"/>
            <w:szCs w:val="24"/>
            <w:lang w:val="en-US" w:eastAsia="zh-CN" w:bidi="ar-SA"/>
          </w:rPr>
          <w:fldChar w:fldCharType="end"/>
        </w:r>
      </w:p>
    </w:sdtContent>
  </w:sd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jJmN2E4OTI2ODYxM2E3M2I4OGRhYWE2ZmJmYzgifQ=="/>
  </w:docVars>
  <w:rsids>
    <w:rsidRoot w:val="00000000"/>
    <w:rsid w:val="116E60FF"/>
    <w:rsid w:val="146E08FB"/>
    <w:rsid w:val="174114FC"/>
    <w:rsid w:val="31841167"/>
    <w:rsid w:val="4BB67353"/>
    <w:rsid w:val="511C4BA7"/>
    <w:rsid w:val="64960BD8"/>
    <w:rsid w:val="6DB907C8"/>
    <w:rsid w:val="708A280D"/>
    <w:rsid w:val="7783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2023-10-09T01:03:00Z</dcterms:created>
  <dc:creator>Administrator</dc:creator>
  <cp:lastModifiedBy>黄金波/办公室(行政审批处)/武汉市水务局</cp:lastModifiedBy>
  <dcterms:modified xsi:type="dcterms:W3CDTF">2025-12-24T02:38:29Z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FA1DC5CCE06A478D976822F11A767B31_12</vt:lpwstr>
  </property>
</Properties>
</file>