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w:t>
      </w:r>
      <w:r>
        <w:rPr>
          <w:rFonts w:hint="eastAsia" w:ascii="宋体" w:hAnsi="宋体" w:eastAsia="宋体"/>
          <w:b/>
          <w:bCs/>
          <w:color w:val="000000" w:themeColor="text1"/>
          <w:sz w:val="30"/>
          <w:szCs w:val="30"/>
          <w:lang w:eastAsia="zh-CN"/>
          <w14:textFill>
            <w14:solidFill>
              <w14:schemeClr w14:val="tx1"/>
            </w14:solidFill>
          </w14:textFill>
        </w:rPr>
        <w:t>人</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刘传奇</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4206831990</w:t>
      </w:r>
      <w:r>
        <w:rPr>
          <w:rFonts w:hint="eastAsia" w:ascii="宋体" w:hAnsi="宋体" w:eastAsia="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湖北省枣阳市北城办事处沿河北路5-2号</w:t>
      </w:r>
    </w:p>
    <w:p>
      <w:pPr>
        <w:keepNext w:val="0"/>
        <w:keepLines w:val="0"/>
        <w:pageBreakBefore w:val="0"/>
        <w:widowControl w:val="0"/>
        <w:kinsoku/>
        <w:overflowPunct/>
        <w:topLinePunct w:val="0"/>
        <w:autoSpaceDE/>
        <w:autoSpaceDN/>
        <w:bidi w:val="0"/>
        <w:adjustRightInd/>
        <w:snapToGrid/>
        <w:spacing w:line="560"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9</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103</w:t>
      </w:r>
      <w:r>
        <w:rPr>
          <w:rFonts w:hint="eastAsia" w:ascii="宋体" w:hAnsi="宋体" w:eastAsia="宋体"/>
          <w:color w:val="000000" w:themeColor="text1"/>
          <w:sz w:val="30"/>
          <w:szCs w:val="30"/>
          <w14:textFill>
            <w14:solidFill>
              <w14:schemeClr w14:val="tx1"/>
            </w14:solidFill>
          </w14:textFill>
        </w:rPr>
        <w:t>刑初</w:t>
      </w:r>
      <w:r>
        <w:rPr>
          <w:rFonts w:ascii="宋体" w:hAnsi="宋体" w:eastAsia="宋体"/>
          <w:color w:val="000000" w:themeColor="text1"/>
          <w:sz w:val="30"/>
          <w:szCs w:val="30"/>
          <w14:textFill>
            <w14:solidFill>
              <w14:schemeClr w14:val="tx1"/>
            </w14:solidFill>
          </w14:textFill>
        </w:rPr>
        <w:t>879</w:t>
      </w:r>
      <w:r>
        <w:rPr>
          <w:rFonts w:hint="eastAsia" w:ascii="宋体" w:hAnsi="宋体" w:eastAsia="宋体"/>
          <w:color w:val="000000" w:themeColor="text1"/>
          <w:sz w:val="30"/>
          <w:szCs w:val="30"/>
          <w14:textFill>
            <w14:solidFill>
              <w14:schemeClr w14:val="tx1"/>
            </w14:solidFill>
          </w14:textFill>
        </w:rPr>
        <w:t>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盗采江砂共计13967吨，盗采江砂价值共计人民币1105767.39元</w:t>
      </w:r>
      <w:r>
        <w:rPr>
          <w:rFonts w:hint="eastAsia" w:ascii="宋体" w:hAnsi="宋体" w:eastAsia="宋体"/>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p>
    <w:p>
      <w:pPr>
        <w:pStyle w:val="6"/>
        <w:keepNext w:val="0"/>
        <w:keepLines w:val="0"/>
        <w:pageBreakBefore w:val="0"/>
        <w:widowControl w:val="0"/>
        <w:numPr>
          <w:ilvl w:val="0"/>
          <w:numId w:val="1"/>
        </w:numPr>
        <w:kinsoku/>
        <w:overflowPunct/>
        <w:topLinePunct w:val="0"/>
        <w:autoSpaceDE/>
        <w:autoSpaceDN/>
        <w:bidi w:val="0"/>
        <w:adjustRightInd/>
        <w:snapToGrid/>
        <w:spacing w:line="5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为353923.78</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35392.38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黎方立等</w:t>
      </w:r>
      <w:r>
        <w:rPr>
          <w:rFonts w:hint="eastAsia" w:ascii="宋体" w:hAnsi="宋体" w:eastAsia="宋体"/>
          <w:color w:val="000000" w:themeColor="text1"/>
          <w:sz w:val="30"/>
          <w:szCs w:val="30"/>
          <w14:textFill>
            <w14:solidFill>
              <w14:schemeClr w14:val="tx1"/>
            </w14:solidFill>
          </w14:textFill>
        </w:rPr>
        <w:t>）应承担生态环境损害赔偿数额为</w:t>
      </w:r>
      <w:r>
        <w:rPr>
          <w:rFonts w:ascii="宋体" w:hAnsi="宋体" w:eastAsia="宋体"/>
          <w:color w:val="000000" w:themeColor="text1"/>
          <w:sz w:val="30"/>
          <w:szCs w:val="30"/>
          <w14:textFill>
            <w14:solidFill>
              <w14:schemeClr w14:val="tx1"/>
            </w14:solidFill>
          </w14:textFill>
        </w:rPr>
        <w:t>389316.16</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6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6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13021D"/>
    <w:rsid w:val="001611C4"/>
    <w:rsid w:val="001A1CBD"/>
    <w:rsid w:val="00212758"/>
    <w:rsid w:val="003E37C6"/>
    <w:rsid w:val="00417211"/>
    <w:rsid w:val="00440C22"/>
    <w:rsid w:val="00584483"/>
    <w:rsid w:val="00644B82"/>
    <w:rsid w:val="006A04EE"/>
    <w:rsid w:val="006E72C9"/>
    <w:rsid w:val="00715097"/>
    <w:rsid w:val="00753DDE"/>
    <w:rsid w:val="007879E3"/>
    <w:rsid w:val="007D27E3"/>
    <w:rsid w:val="00826256"/>
    <w:rsid w:val="00871473"/>
    <w:rsid w:val="00A6218A"/>
    <w:rsid w:val="00A62DDF"/>
    <w:rsid w:val="00B47340"/>
    <w:rsid w:val="00BE1B8F"/>
    <w:rsid w:val="00C613BD"/>
    <w:rsid w:val="00CD471C"/>
    <w:rsid w:val="00D16875"/>
    <w:rsid w:val="00D5091A"/>
    <w:rsid w:val="00D632A8"/>
    <w:rsid w:val="00D732D8"/>
    <w:rsid w:val="00DF3935"/>
    <w:rsid w:val="00DF5E53"/>
    <w:rsid w:val="00E25342"/>
    <w:rsid w:val="00E61A19"/>
    <w:rsid w:val="00E84CFE"/>
    <w:rsid w:val="00E934DD"/>
    <w:rsid w:val="00EC01B6"/>
    <w:rsid w:val="00EE2FCC"/>
    <w:rsid w:val="00F00C67"/>
    <w:rsid w:val="00FB5953"/>
    <w:rsid w:val="071F14DA"/>
    <w:rsid w:val="09D47ABC"/>
    <w:rsid w:val="0C3E1E36"/>
    <w:rsid w:val="18727198"/>
    <w:rsid w:val="1C2F2D1A"/>
    <w:rsid w:val="22993597"/>
    <w:rsid w:val="23FE3883"/>
    <w:rsid w:val="30623B61"/>
    <w:rsid w:val="39447492"/>
    <w:rsid w:val="399C171C"/>
    <w:rsid w:val="3AB6680E"/>
    <w:rsid w:val="3F4C4B4B"/>
    <w:rsid w:val="407231D7"/>
    <w:rsid w:val="40822004"/>
    <w:rsid w:val="488D3831"/>
    <w:rsid w:val="48A74B9D"/>
    <w:rsid w:val="4E8D2C78"/>
    <w:rsid w:val="52E85275"/>
    <w:rsid w:val="55D02456"/>
    <w:rsid w:val="5B44356A"/>
    <w:rsid w:val="6A1B49F1"/>
    <w:rsid w:val="70141305"/>
    <w:rsid w:val="74572961"/>
    <w:rsid w:val="76990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2244</Words>
  <Characters>2501</Characters>
  <Lines>17</Lines>
  <Paragraphs>4</Paragraphs>
  <TotalTime>0</TotalTime>
  <ScaleCrop>false</ScaleCrop>
  <LinksUpToDate>false</LinksUpToDate>
  <CharactersWithSpaces>2540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2023-09-12T08:05:00Z</dcterms:created>
  <dc:creator>office user</dc:creator>
  <cp:lastModifiedBy>黄金波/办公室(行政审批处)/武汉市水务局</cp:lastModifiedBy>
  <dcterms:modified xsi:type="dcterms:W3CDTF">2025-12-24T01:00:15Z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